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A1725D" w:rsidRDefault="006B5847" w:rsidP="00607CC8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A1725D">
        <w:rPr>
          <w:rFonts w:cs="Arial"/>
          <w:caps/>
          <w:sz w:val="28"/>
          <w:szCs w:val="28"/>
          <w:lang w:val="es-ES_tradnl"/>
        </w:rPr>
        <w:t>Certificación del Confinamiento del GAPIII</w:t>
      </w:r>
      <w:r w:rsidR="00607CC8" w:rsidRPr="00A1725D">
        <w:rPr>
          <w:rFonts w:cs="Arial"/>
          <w:caps/>
          <w:sz w:val="28"/>
          <w:szCs w:val="28"/>
          <w:lang w:val="es-ES_tradnl"/>
        </w:rPr>
        <w:t xml:space="preserve"> </w:t>
      </w:r>
    </w:p>
    <w:p w:rsidR="002C7959" w:rsidRPr="00A1725D" w:rsidRDefault="006B5847" w:rsidP="006F0A85">
      <w:pPr>
        <w:pStyle w:val="Subtitle"/>
        <w:rPr>
          <w:rFonts w:cs="Arial"/>
          <w:caps/>
          <w:sz w:val="28"/>
          <w:szCs w:val="28"/>
          <w:lang w:val="es-ES_tradnl"/>
        </w:rPr>
      </w:pPr>
      <w:r w:rsidRPr="00A1725D">
        <w:rPr>
          <w:rFonts w:cs="Arial"/>
          <w:caps/>
          <w:sz w:val="28"/>
          <w:szCs w:val="28"/>
          <w:lang w:val="es-ES_tradnl"/>
        </w:rPr>
        <w:t>Guía para el cálculo de costos (días-</w:t>
      </w:r>
      <w:r w:rsidR="00D67335" w:rsidRPr="00A1725D">
        <w:rPr>
          <w:rFonts w:cs="Arial"/>
          <w:caps/>
          <w:sz w:val="28"/>
          <w:szCs w:val="28"/>
          <w:lang w:val="es-ES_tradnl"/>
        </w:rPr>
        <w:t>HOMBRE</w:t>
      </w:r>
      <w:r w:rsidRPr="00A1725D">
        <w:rPr>
          <w:rFonts w:cs="Arial"/>
          <w:caps/>
          <w:sz w:val="28"/>
          <w:szCs w:val="28"/>
          <w:lang w:val="es-ES_tradnl"/>
        </w:rPr>
        <w:t>)</w:t>
      </w:r>
    </w:p>
    <w:p w:rsidR="005E5025" w:rsidRPr="00A1725D" w:rsidRDefault="005E5025" w:rsidP="006F0A85">
      <w:pPr>
        <w:pStyle w:val="Subtitle"/>
        <w:rPr>
          <w:rFonts w:cs="Arial"/>
          <w:caps/>
          <w:sz w:val="28"/>
          <w:szCs w:val="28"/>
          <w:lang w:val="es-ES_tradnl"/>
        </w:rPr>
      </w:pPr>
    </w:p>
    <w:p w:rsidR="00625949" w:rsidRPr="00A1725D" w:rsidRDefault="006B5847" w:rsidP="00616096">
      <w:pPr>
        <w:jc w:val="both"/>
        <w:rPr>
          <w:lang w:val="es-ES_tradnl"/>
        </w:rPr>
      </w:pPr>
      <w:r w:rsidRPr="00A1725D">
        <w:rPr>
          <w:lang w:val="es-ES_tradnl"/>
        </w:rPr>
        <w:t xml:space="preserve">Un componente esencial de la ejecución del </w:t>
      </w:r>
      <w:r w:rsidR="00D67335" w:rsidRPr="00A1725D">
        <w:rPr>
          <w:iCs/>
          <w:lang w:val="es-ES_tradnl"/>
        </w:rPr>
        <w:t>Programa de Certificación del Confinamiento</w:t>
      </w:r>
      <w:r w:rsidRPr="00A1725D">
        <w:rPr>
          <w:lang w:val="es-ES_tradnl"/>
        </w:rPr>
        <w:t xml:space="preserve"> </w:t>
      </w:r>
      <w:r w:rsidR="00195C27">
        <w:rPr>
          <w:lang w:val="es-ES_tradnl"/>
        </w:rPr>
        <w:t xml:space="preserve">(PCC) </w:t>
      </w:r>
      <w:r w:rsidRPr="00A1725D">
        <w:rPr>
          <w:lang w:val="es-ES_tradnl"/>
        </w:rPr>
        <w:t>será la necesidad de efectuar auditorías en diferentes países a una gran variedad de establecimientos, de una manera justa y equitativa.</w:t>
      </w:r>
      <w:r w:rsidR="00AB3CD7" w:rsidRPr="00A1725D">
        <w:rPr>
          <w:lang w:val="es-ES_tradnl"/>
        </w:rPr>
        <w:t xml:space="preserve"> </w:t>
      </w:r>
      <w:r w:rsidRPr="00A1725D">
        <w:rPr>
          <w:lang w:val="es-ES_tradnl"/>
        </w:rPr>
        <w:t xml:space="preserve">Será imprescindible procurar que los esfuerzos desplegados en las evaluaciones de los diferentes </w:t>
      </w:r>
      <w:r w:rsidR="00D67335" w:rsidRPr="00A1725D">
        <w:rPr>
          <w:iCs/>
          <w:lang w:val="es-ES_tradnl"/>
        </w:rPr>
        <w:t>establecimientos esenciales de poliovirus</w:t>
      </w:r>
      <w:r w:rsidRPr="00A1725D">
        <w:rPr>
          <w:lang w:val="es-ES_tradnl"/>
        </w:rPr>
        <w:t xml:space="preserve"> sean razonables, proporcionados y uniformes.</w:t>
      </w:r>
      <w:r w:rsidR="00AB3CD7" w:rsidRPr="00A1725D">
        <w:rPr>
          <w:lang w:val="es-ES_tradnl"/>
        </w:rPr>
        <w:t xml:space="preserve"> </w:t>
      </w:r>
      <w:r w:rsidR="00D429D5" w:rsidRPr="00A1725D">
        <w:rPr>
          <w:lang w:val="es-ES_tradnl"/>
        </w:rPr>
        <w:t>En l</w:t>
      </w:r>
      <w:r w:rsidRPr="00A1725D">
        <w:rPr>
          <w:lang w:val="es-ES_tradnl"/>
        </w:rPr>
        <w:t xml:space="preserve">a presente guía </w:t>
      </w:r>
      <w:r w:rsidR="00D429D5" w:rsidRPr="00A1725D">
        <w:rPr>
          <w:lang w:val="es-ES_tradnl"/>
        </w:rPr>
        <w:t xml:space="preserve">se </w:t>
      </w:r>
      <w:r w:rsidRPr="00A1725D">
        <w:rPr>
          <w:lang w:val="es-ES_tradnl"/>
        </w:rPr>
        <w:t>ofrece información acerca de lo que cabe esp</w:t>
      </w:r>
      <w:r w:rsidR="00D67335" w:rsidRPr="00A1725D">
        <w:rPr>
          <w:lang w:val="es-ES_tradnl"/>
        </w:rPr>
        <w:t>erar al planificar y realizar au</w:t>
      </w:r>
      <w:r w:rsidRPr="00A1725D">
        <w:rPr>
          <w:lang w:val="es-ES_tradnl"/>
        </w:rPr>
        <w:t xml:space="preserve">ditorías con respecto a la posible duración y los costos correspondientes, descritos </w:t>
      </w:r>
      <w:r w:rsidR="00D429D5" w:rsidRPr="00A1725D">
        <w:rPr>
          <w:lang w:val="es-ES_tradnl"/>
        </w:rPr>
        <w:t>como</w:t>
      </w:r>
      <w:r w:rsidRPr="00A1725D">
        <w:rPr>
          <w:lang w:val="es-ES_tradnl"/>
        </w:rPr>
        <w:t xml:space="preserve"> </w:t>
      </w:r>
      <w:r w:rsidR="00D67335" w:rsidRPr="00A1725D">
        <w:rPr>
          <w:lang w:val="es-ES_tradnl"/>
        </w:rPr>
        <w:t>días-hombre</w:t>
      </w:r>
      <w:r w:rsidRPr="00A1725D">
        <w:rPr>
          <w:lang w:val="es-ES_tradnl"/>
        </w:rPr>
        <w:t>.</w:t>
      </w:r>
      <w:r w:rsidR="00E56D62" w:rsidRPr="00A1725D">
        <w:rPr>
          <w:lang w:val="es-ES_tradnl"/>
        </w:rPr>
        <w:t xml:space="preserve"> </w:t>
      </w:r>
      <w:r w:rsidRPr="00A1725D">
        <w:rPr>
          <w:lang w:val="es-ES_tradnl"/>
        </w:rPr>
        <w:t xml:space="preserve">No se pretende prescribir plazos fijos sino proponer un marco dentro del cual </w:t>
      </w:r>
      <w:r w:rsidR="00732C7E" w:rsidRPr="00A1725D">
        <w:rPr>
          <w:lang w:val="es-ES_tradnl"/>
        </w:rPr>
        <w:t>el establecimiento esencial</w:t>
      </w:r>
      <w:r w:rsidR="00D429D5" w:rsidRPr="00A1725D">
        <w:rPr>
          <w:iCs/>
          <w:lang w:val="es-ES_tradnl"/>
        </w:rPr>
        <w:t xml:space="preserve"> de </w:t>
      </w:r>
      <w:proofErr w:type="spellStart"/>
      <w:r w:rsidR="00D429D5" w:rsidRPr="00A1725D">
        <w:rPr>
          <w:iCs/>
          <w:lang w:val="es-ES_tradnl"/>
        </w:rPr>
        <w:t>poliovirus</w:t>
      </w:r>
      <w:proofErr w:type="spellEnd"/>
      <w:r w:rsidRPr="00A1725D">
        <w:rPr>
          <w:lang w:val="es-ES_tradnl"/>
        </w:rPr>
        <w:t xml:space="preserve"> y las </w:t>
      </w:r>
      <w:r w:rsidR="00616096">
        <w:rPr>
          <w:iCs/>
          <w:lang w:val="es-ES_tradnl"/>
        </w:rPr>
        <w:t>ANC</w:t>
      </w:r>
      <w:r w:rsidRPr="00A1725D">
        <w:rPr>
          <w:lang w:val="es-ES_tradnl"/>
        </w:rPr>
        <w:t xml:space="preserve"> puedan demostrar que se están destinando los recursos apropiados a la realización de las auditorías del PCC y las actividades conexas.</w:t>
      </w:r>
      <w:r w:rsidR="002B1BE4" w:rsidRPr="00A1725D">
        <w:rPr>
          <w:lang w:val="es-ES_tradnl"/>
        </w:rPr>
        <w:t xml:space="preserve">  </w:t>
      </w:r>
    </w:p>
    <w:p w:rsidR="00E56D62" w:rsidRPr="00A1725D" w:rsidRDefault="00E56D62" w:rsidP="00625949">
      <w:pPr>
        <w:rPr>
          <w:lang w:val="es-ES_tradnl"/>
        </w:rPr>
      </w:pPr>
    </w:p>
    <w:p w:rsidR="00A21E8F" w:rsidRPr="00A1725D" w:rsidRDefault="005C3C29" w:rsidP="00F87D67">
      <w:pPr>
        <w:jc w:val="both"/>
        <w:rPr>
          <w:lang w:val="es-ES_tradnl"/>
        </w:rPr>
      </w:pPr>
      <w:r w:rsidRPr="00A1725D">
        <w:rPr>
          <w:lang w:val="es-ES_tradnl"/>
        </w:rPr>
        <w:t>Se reconoce que otras áreas</w:t>
      </w:r>
      <w:r w:rsidR="00D67335" w:rsidRPr="00A1725D">
        <w:rPr>
          <w:lang w:val="es-ES_tradnl"/>
        </w:rPr>
        <w:t xml:space="preserve"> administrativas</w:t>
      </w:r>
      <w:r w:rsidRPr="00A1725D">
        <w:rPr>
          <w:lang w:val="es-ES_tradnl"/>
        </w:rPr>
        <w:t xml:space="preserve"> necesitarán recibir recursos de las ANC para mantener su función con respecto al PCC (</w:t>
      </w:r>
      <w:r w:rsidRPr="00A1725D">
        <w:rPr>
          <w:rFonts w:eastAsiaTheme="minorEastAsia"/>
          <w:lang w:val="es-ES_tradnl" w:eastAsia="zh-CN"/>
        </w:rPr>
        <w:t xml:space="preserve">por ejemplo, la preparación y el mantenimiento de los procedimientos de certificación y la supervisión de la competencia de los auditores), pero </w:t>
      </w:r>
      <w:r w:rsidR="00D67335" w:rsidRPr="00A1725D">
        <w:rPr>
          <w:rFonts w:eastAsiaTheme="minorEastAsia"/>
          <w:lang w:val="es-ES_tradnl" w:eastAsia="zh-CN"/>
        </w:rPr>
        <w:t xml:space="preserve">en </w:t>
      </w:r>
      <w:r w:rsidRPr="00A1725D">
        <w:rPr>
          <w:rFonts w:eastAsiaTheme="minorEastAsia"/>
          <w:lang w:val="es-ES_tradnl" w:eastAsia="zh-CN"/>
        </w:rPr>
        <w:t xml:space="preserve">esta guía </w:t>
      </w:r>
      <w:r w:rsidR="00D67335" w:rsidRPr="00A1725D">
        <w:rPr>
          <w:rFonts w:eastAsiaTheme="minorEastAsia"/>
          <w:lang w:val="es-ES_tradnl" w:eastAsia="zh-CN"/>
        </w:rPr>
        <w:t xml:space="preserve">se </w:t>
      </w:r>
      <w:r w:rsidRPr="00A1725D">
        <w:rPr>
          <w:rFonts w:eastAsiaTheme="minorEastAsia"/>
          <w:lang w:val="es-ES_tradnl" w:eastAsia="zh-CN"/>
        </w:rPr>
        <w:t>aborda</w:t>
      </w:r>
      <w:r w:rsidR="00D67335" w:rsidRPr="00A1725D">
        <w:rPr>
          <w:rFonts w:eastAsiaTheme="minorEastAsia"/>
          <w:lang w:val="es-ES_tradnl" w:eastAsia="zh-CN"/>
        </w:rPr>
        <w:t>n</w:t>
      </w:r>
      <w:r w:rsidRPr="00A1725D">
        <w:rPr>
          <w:rFonts w:eastAsiaTheme="minorEastAsia"/>
          <w:lang w:val="es-ES_tradnl" w:eastAsia="zh-CN"/>
        </w:rPr>
        <w:t xml:space="preserve"> específicamente la planificación, </w:t>
      </w:r>
      <w:r w:rsidR="00D67335" w:rsidRPr="00A1725D">
        <w:rPr>
          <w:rFonts w:eastAsiaTheme="minorEastAsia"/>
          <w:lang w:val="es-ES_tradnl" w:eastAsia="zh-CN"/>
        </w:rPr>
        <w:t xml:space="preserve">la </w:t>
      </w:r>
      <w:r w:rsidRPr="00A1725D">
        <w:rPr>
          <w:rFonts w:eastAsiaTheme="minorEastAsia"/>
          <w:lang w:val="es-ES_tradnl" w:eastAsia="zh-CN"/>
        </w:rPr>
        <w:t xml:space="preserve">ejecución y </w:t>
      </w:r>
      <w:r w:rsidR="00D67335" w:rsidRPr="00A1725D">
        <w:rPr>
          <w:rFonts w:eastAsiaTheme="minorEastAsia"/>
          <w:lang w:val="es-ES_tradnl" w:eastAsia="zh-CN"/>
        </w:rPr>
        <w:t xml:space="preserve">el </w:t>
      </w:r>
      <w:r w:rsidRPr="00A1725D">
        <w:rPr>
          <w:rFonts w:eastAsiaTheme="minorEastAsia"/>
          <w:lang w:val="es-ES_tradnl" w:eastAsia="zh-CN"/>
        </w:rPr>
        <w:t>seguimiento de la auditoría.</w:t>
      </w:r>
    </w:p>
    <w:p w:rsidR="00A21E8F" w:rsidRPr="00A1725D" w:rsidRDefault="00A21E8F" w:rsidP="00625949">
      <w:pPr>
        <w:rPr>
          <w:lang w:val="es-ES_tradnl"/>
        </w:rPr>
      </w:pPr>
    </w:p>
    <w:p w:rsidR="00E8628B" w:rsidRPr="00A1725D" w:rsidRDefault="005C3C29" w:rsidP="00625949">
      <w:pPr>
        <w:rPr>
          <w:b/>
          <w:i/>
          <w:lang w:val="es-ES_tradnl"/>
        </w:rPr>
      </w:pPr>
      <w:r w:rsidRPr="00A1725D">
        <w:rPr>
          <w:b/>
          <w:i/>
          <w:lang w:val="es-ES_tradnl"/>
        </w:rPr>
        <w:t>Inicio y planificación</w:t>
      </w:r>
    </w:p>
    <w:p w:rsidR="00E8628B" w:rsidRPr="00A1725D" w:rsidRDefault="005C3C29" w:rsidP="001548CE">
      <w:pPr>
        <w:jc w:val="both"/>
        <w:rPr>
          <w:lang w:val="es-ES_tradnl"/>
        </w:rPr>
      </w:pPr>
      <w:r w:rsidRPr="00A1725D">
        <w:rPr>
          <w:lang w:val="es-ES_tradnl"/>
        </w:rPr>
        <w:t>Ambas etapas esta</w:t>
      </w:r>
      <w:r w:rsidR="00D429D5" w:rsidRPr="00A1725D">
        <w:rPr>
          <w:lang w:val="es-ES_tradnl"/>
        </w:rPr>
        <w:t>rán a cargo del jefe del equipo, p</w:t>
      </w:r>
      <w:r w:rsidRPr="00A1725D">
        <w:rPr>
          <w:lang w:val="es-ES_tradnl"/>
        </w:rPr>
        <w:t>ero puede ser necesario que otros miembros de</w:t>
      </w:r>
      <w:r w:rsidR="00D429D5" w:rsidRPr="00A1725D">
        <w:rPr>
          <w:lang w:val="es-ES_tradnl"/>
        </w:rPr>
        <w:t xml:space="preserve"> este</w:t>
      </w:r>
      <w:r w:rsidRPr="00A1725D">
        <w:rPr>
          <w:lang w:val="es-ES_tradnl"/>
        </w:rPr>
        <w:t xml:space="preserve"> aporten información para el calendario, analicen las áreas centrales, examinen documentos, </w:t>
      </w:r>
      <w:r w:rsidR="00616096">
        <w:rPr>
          <w:rFonts w:eastAsiaTheme="minorEastAsia"/>
          <w:lang w:val="es-ES_tradnl"/>
        </w:rPr>
        <w:t>etc</w:t>
      </w:r>
      <w:r w:rsidRPr="00A1725D">
        <w:rPr>
          <w:rFonts w:eastAsiaTheme="minorEastAsia"/>
          <w:lang w:val="es-ES_tradnl"/>
        </w:rPr>
        <w:t>.</w:t>
      </w:r>
      <w:r w:rsidR="00616096">
        <w:rPr>
          <w:lang w:val="es-ES_tradnl"/>
        </w:rPr>
        <w:t xml:space="preserve"> </w:t>
      </w:r>
      <w:r w:rsidRPr="00A1725D">
        <w:rPr>
          <w:lang w:val="es-ES_tradnl"/>
        </w:rPr>
        <w:t xml:space="preserve">Si bien el objetivo primordial de esta guía es el tiempo </w:t>
      </w:r>
      <w:r w:rsidR="00E749E3">
        <w:rPr>
          <w:lang w:val="es-ES_tradnl"/>
        </w:rPr>
        <w:t>que se pasa</w:t>
      </w:r>
      <w:r w:rsidRPr="00A1725D">
        <w:rPr>
          <w:lang w:val="es-ES_tradnl"/>
        </w:rPr>
        <w:t xml:space="preserve"> sobre el terreno, también debe tenerse en cuenta el tiempo necesario para una preparación adecuada.</w:t>
      </w:r>
      <w:r w:rsidR="002B1BE4" w:rsidRPr="00A1725D">
        <w:rPr>
          <w:lang w:val="es-ES_tradnl"/>
        </w:rPr>
        <w:t xml:space="preserve"> </w:t>
      </w:r>
      <w:r w:rsidRPr="00A1725D">
        <w:rPr>
          <w:lang w:val="es-ES_tradnl"/>
        </w:rPr>
        <w:t>No se propone un plazo específico para esta actividad</w:t>
      </w:r>
      <w:r w:rsidR="00D67335" w:rsidRPr="00A1725D">
        <w:rPr>
          <w:lang w:val="es-ES_tradnl"/>
        </w:rPr>
        <w:t>,</w:t>
      </w:r>
      <w:r w:rsidRPr="00A1725D">
        <w:rPr>
          <w:lang w:val="es-ES_tradnl"/>
        </w:rPr>
        <w:t xml:space="preserve"> pues ello dependerá al menos en parte de</w:t>
      </w:r>
      <w:r w:rsidR="00D429D5" w:rsidRPr="00A1725D">
        <w:rPr>
          <w:lang w:val="es-ES_tradnl"/>
        </w:rPr>
        <w:t xml:space="preserve"> </w:t>
      </w:r>
      <w:r w:rsidRPr="00A1725D">
        <w:rPr>
          <w:lang w:val="es-ES_tradnl"/>
        </w:rPr>
        <w:t>l</w:t>
      </w:r>
      <w:r w:rsidR="00D429D5" w:rsidRPr="00A1725D">
        <w:rPr>
          <w:lang w:val="es-ES_tradnl"/>
        </w:rPr>
        <w:t>a</w:t>
      </w:r>
      <w:r w:rsidRPr="00A1725D">
        <w:rPr>
          <w:lang w:val="es-ES_tradnl"/>
        </w:rPr>
        <w:t xml:space="preserve"> </w:t>
      </w:r>
      <w:r w:rsidR="00D429D5" w:rsidRPr="00A1725D">
        <w:rPr>
          <w:lang w:val="es-ES_tradnl"/>
        </w:rPr>
        <w:t xml:space="preserve">índole </w:t>
      </w:r>
      <w:r w:rsidRPr="00A1725D">
        <w:rPr>
          <w:lang w:val="es-ES_tradnl"/>
        </w:rPr>
        <w:t xml:space="preserve">del establecimiento, la necesidad de examinar documentos al principio, la familiaridad del </w:t>
      </w:r>
      <w:r w:rsidRPr="00A1725D">
        <w:rPr>
          <w:rFonts w:eastAsiaTheme="majorEastAsia"/>
          <w:lang w:val="es-ES_tradnl" w:eastAsia="zh-CN"/>
        </w:rPr>
        <w:t>e</w:t>
      </w:r>
      <w:r w:rsidR="0023062B">
        <w:rPr>
          <w:rFonts w:eastAsiaTheme="majorEastAsia"/>
          <w:lang w:val="es-ES_tradnl" w:eastAsia="zh-CN"/>
        </w:rPr>
        <w:t>quipo de auditoría con el establ</w:t>
      </w:r>
      <w:bookmarkStart w:id="0" w:name="_GoBack"/>
      <w:bookmarkEnd w:id="0"/>
      <w:r w:rsidRPr="00A1725D">
        <w:rPr>
          <w:rFonts w:eastAsiaTheme="majorEastAsia"/>
          <w:lang w:val="es-ES_tradnl" w:eastAsia="zh-CN"/>
        </w:rPr>
        <w:t>ecimiento y otros factores.</w:t>
      </w:r>
      <w:r w:rsidR="002B1BE4" w:rsidRPr="00A1725D">
        <w:rPr>
          <w:lang w:val="es-ES_tradnl"/>
        </w:rPr>
        <w:t xml:space="preserve"> </w:t>
      </w:r>
      <w:r w:rsidRPr="00A1725D">
        <w:rPr>
          <w:lang w:val="es-ES_tradnl"/>
        </w:rPr>
        <w:t>Aún así, hay que abordar formalmente esta área y presentar información como parte de los informes de certificación a</w:t>
      </w:r>
      <w:r w:rsidR="00D67335" w:rsidRPr="00A1725D">
        <w:rPr>
          <w:lang w:val="es-ES_tradnl"/>
        </w:rPr>
        <w:t xml:space="preserve"> la</w:t>
      </w:r>
      <w:r w:rsidRPr="00A1725D">
        <w:rPr>
          <w:lang w:val="es-ES_tradnl"/>
        </w:rPr>
        <w:t xml:space="preserve"> </w:t>
      </w:r>
      <w:r w:rsidR="00D67335" w:rsidRPr="00A1725D">
        <w:rPr>
          <w:lang w:val="es-ES_tradnl"/>
        </w:rPr>
        <w:t>Comisión Mundial de Certificación de la Erradicación de la Poliomielitis</w:t>
      </w:r>
      <w:r w:rsidRPr="00A1725D">
        <w:rPr>
          <w:lang w:val="es-ES_tradnl"/>
        </w:rPr>
        <w:t xml:space="preserve"> con el fin de demostrar que hubo una planificación suficiente, </w:t>
      </w:r>
      <w:r w:rsidR="00D429D5" w:rsidRPr="00A1725D">
        <w:rPr>
          <w:lang w:val="es-ES_tradnl"/>
        </w:rPr>
        <w:t>en particular</w:t>
      </w:r>
      <w:r w:rsidRPr="00A1725D">
        <w:rPr>
          <w:lang w:val="es-ES_tradnl"/>
        </w:rPr>
        <w:t xml:space="preserve"> la asignación de los recursos necesarios.</w:t>
      </w:r>
    </w:p>
    <w:p w:rsidR="00E8628B" w:rsidRPr="00A1725D" w:rsidRDefault="00E8628B" w:rsidP="00625949">
      <w:pPr>
        <w:rPr>
          <w:lang w:val="es-ES_tradnl"/>
        </w:rPr>
      </w:pPr>
    </w:p>
    <w:p w:rsidR="00E8628B" w:rsidRPr="00A1725D" w:rsidRDefault="005C3C29" w:rsidP="00625949">
      <w:pPr>
        <w:rPr>
          <w:b/>
          <w:i/>
          <w:lang w:val="es-ES_tradnl"/>
        </w:rPr>
      </w:pPr>
      <w:r w:rsidRPr="00A1725D">
        <w:rPr>
          <w:b/>
          <w:i/>
          <w:lang w:val="es-ES_tradnl"/>
        </w:rPr>
        <w:t>Desempeño</w:t>
      </w:r>
    </w:p>
    <w:p w:rsidR="000A7CBD" w:rsidRPr="00A1725D" w:rsidRDefault="005C3C29" w:rsidP="00D64E7B">
      <w:pPr>
        <w:jc w:val="both"/>
        <w:rPr>
          <w:lang w:val="es-ES_tradnl"/>
        </w:rPr>
      </w:pPr>
      <w:r w:rsidRPr="00A1725D">
        <w:rPr>
          <w:lang w:val="es-ES_tradnl"/>
        </w:rPr>
        <w:t>Esta es un área muy subjetiva; el esfuerzo requerido dependerá de muchos factores, como el tamaño, la escala, la compl</w:t>
      </w:r>
      <w:r w:rsidR="00D67335" w:rsidRPr="00A1725D">
        <w:rPr>
          <w:lang w:val="es-ES_tradnl"/>
        </w:rPr>
        <w:t>ejidad</w:t>
      </w:r>
      <w:r w:rsidRPr="00A1725D">
        <w:rPr>
          <w:lang w:val="es-ES_tradnl"/>
        </w:rPr>
        <w:t xml:space="preserve">, la ubicación </w:t>
      </w:r>
      <w:r w:rsidR="00D74E4A" w:rsidRPr="00A1725D">
        <w:rPr>
          <w:lang w:val="es-ES_tradnl"/>
        </w:rPr>
        <w:t xml:space="preserve">y </w:t>
      </w:r>
      <w:r w:rsidR="001465C4" w:rsidRPr="00A1725D">
        <w:rPr>
          <w:lang w:val="es-ES_tradnl"/>
        </w:rPr>
        <w:t>el trazado</w:t>
      </w:r>
      <w:r w:rsidR="00D74E4A" w:rsidRPr="00A1725D">
        <w:rPr>
          <w:lang w:val="es-ES_tradnl"/>
        </w:rPr>
        <w:t xml:space="preserve"> de los establecimientos.</w:t>
      </w:r>
      <w:r w:rsidR="00E8628B" w:rsidRPr="00A1725D">
        <w:rPr>
          <w:lang w:val="es-ES_tradnl"/>
        </w:rPr>
        <w:t xml:space="preserve"> </w:t>
      </w:r>
      <w:r w:rsidR="001465C4" w:rsidRPr="00A1725D">
        <w:rPr>
          <w:lang w:val="es-ES_tradnl"/>
        </w:rPr>
        <w:t>Como</w:t>
      </w:r>
      <w:r w:rsidR="00D74E4A" w:rsidRPr="00A1725D">
        <w:rPr>
          <w:lang w:val="es-ES_tradnl"/>
        </w:rPr>
        <w:t xml:space="preserve"> guía </w:t>
      </w:r>
      <w:r w:rsidR="001465C4" w:rsidRPr="00A1725D">
        <w:rPr>
          <w:lang w:val="es-ES_tradnl"/>
        </w:rPr>
        <w:t>general</w:t>
      </w:r>
      <w:r w:rsidR="00D74E4A" w:rsidRPr="00A1725D">
        <w:rPr>
          <w:lang w:val="es-ES_tradnl"/>
        </w:rPr>
        <w:t xml:space="preserve">, para la primera auditoría de alcance completo se debe asignar aproximadamente medio día a cada elemento de la gestión de </w:t>
      </w:r>
      <w:r w:rsidR="00D74E4A" w:rsidRPr="00A1725D">
        <w:rPr>
          <w:rFonts w:eastAsiaTheme="minorEastAsia"/>
          <w:lang w:val="es-ES_tradnl"/>
        </w:rPr>
        <w:t xml:space="preserve">riesgos biológicos descrito en el </w:t>
      </w:r>
      <w:r w:rsidR="00D74E4A" w:rsidRPr="00A1725D">
        <w:rPr>
          <w:lang w:val="es-ES_tradnl"/>
        </w:rPr>
        <w:t>GAPIII, anexo</w:t>
      </w:r>
      <w:r w:rsidR="00D67335" w:rsidRPr="00A1725D">
        <w:rPr>
          <w:lang w:val="es-ES_tradnl"/>
        </w:rPr>
        <w:t>s</w:t>
      </w:r>
      <w:r w:rsidR="00D74E4A" w:rsidRPr="00A1725D">
        <w:rPr>
          <w:lang w:val="es-ES_tradnl"/>
        </w:rPr>
        <w:t xml:space="preserve"> 2 y 3.</w:t>
      </w:r>
      <w:r w:rsidR="00E8628B" w:rsidRPr="00A1725D">
        <w:rPr>
          <w:lang w:val="es-ES_tradnl"/>
        </w:rPr>
        <w:t xml:space="preserve"> </w:t>
      </w:r>
      <w:r w:rsidR="001465C4" w:rsidRPr="00A1725D">
        <w:rPr>
          <w:lang w:val="es-ES_tradnl"/>
        </w:rPr>
        <w:t>El</w:t>
      </w:r>
      <w:r w:rsidR="00D74E4A" w:rsidRPr="00A1725D">
        <w:rPr>
          <w:lang w:val="es-ES_tradnl"/>
        </w:rPr>
        <w:t xml:space="preserve"> tiempo</w:t>
      </w:r>
      <w:r w:rsidR="001465C4" w:rsidRPr="00A1725D">
        <w:rPr>
          <w:lang w:val="es-ES_tradnl"/>
        </w:rPr>
        <w:t xml:space="preserve"> asignado</w:t>
      </w:r>
      <w:r w:rsidR="00D74E4A" w:rsidRPr="00A1725D">
        <w:rPr>
          <w:lang w:val="es-ES_tradnl"/>
        </w:rPr>
        <w:t xml:space="preserve"> a esta actividad puede variar según las circunstancias y dependerá de las principales áreas de interés y la complejidad relativa y el volumen de los elementos respectivos; sea como fuere, hay que asignar un tiempo suficiente para el examen de documentos, las entrevistas con el personal, los recorridos del establecimiento y las actividades de verificación conexas.</w:t>
      </w:r>
      <w:r w:rsidR="00A21E8F" w:rsidRPr="00A1725D">
        <w:rPr>
          <w:lang w:val="es-ES_tradnl"/>
        </w:rPr>
        <w:t xml:space="preserve"> </w:t>
      </w:r>
      <w:r w:rsidR="00501331" w:rsidRPr="00A1725D">
        <w:rPr>
          <w:lang w:val="es-ES_tradnl"/>
        </w:rPr>
        <w:t>Para evaluar cabalmente el cumplimiento de los elementos sin tener de antemano un conocimiento</w:t>
      </w:r>
      <w:r w:rsidR="001465C4" w:rsidRPr="00A1725D">
        <w:rPr>
          <w:lang w:val="es-ES_tradnl"/>
        </w:rPr>
        <w:t xml:space="preserve"> profundo del establecimiento ni</w:t>
      </w:r>
      <w:r w:rsidR="00501331" w:rsidRPr="00A1725D">
        <w:rPr>
          <w:lang w:val="es-ES_tradnl"/>
        </w:rPr>
        <w:t xml:space="preserve"> del sistema de gestión de </w:t>
      </w:r>
      <w:r w:rsidR="00501331" w:rsidRPr="00A1725D">
        <w:rPr>
          <w:rFonts w:eastAsiaTheme="minorEastAsia"/>
          <w:lang w:val="es-ES_tradnl"/>
        </w:rPr>
        <w:t xml:space="preserve">riesgos biológicos, se calcula que una auditoría de alcance completo requeriría aproximadamente 8 </w:t>
      </w:r>
      <w:r w:rsidR="00D67335" w:rsidRPr="00A1725D">
        <w:rPr>
          <w:rFonts w:eastAsiaTheme="minorEastAsia"/>
          <w:lang w:val="es-ES_tradnl"/>
        </w:rPr>
        <w:t>días-hombre</w:t>
      </w:r>
      <w:r w:rsidR="00501331" w:rsidRPr="00A1725D">
        <w:rPr>
          <w:rFonts w:eastAsiaTheme="minorEastAsia"/>
          <w:lang w:val="es-ES_tradnl"/>
        </w:rPr>
        <w:t xml:space="preserve"> para examinar todos los elementos.</w:t>
      </w:r>
      <w:r w:rsidR="0017092F" w:rsidRPr="00A1725D">
        <w:rPr>
          <w:lang w:val="es-ES_tradnl"/>
        </w:rPr>
        <w:t xml:space="preserve"> </w:t>
      </w:r>
      <w:r w:rsidR="00501331" w:rsidRPr="00A1725D">
        <w:rPr>
          <w:lang w:val="es-ES_tradnl"/>
        </w:rPr>
        <w:t xml:space="preserve">Pero también debe reservarse tiempo para asistir a las reuniones de </w:t>
      </w:r>
      <w:r w:rsidR="001465C4" w:rsidRPr="00A1725D">
        <w:rPr>
          <w:lang w:val="es-ES_tradnl"/>
        </w:rPr>
        <w:t>apertura</w:t>
      </w:r>
      <w:r w:rsidR="00501331" w:rsidRPr="00A1725D">
        <w:rPr>
          <w:lang w:val="es-ES_tradnl"/>
        </w:rPr>
        <w:t xml:space="preserve"> y de clausura, las reuniones del equipo, la formulación de los resultados y otras actividades pertinentes.</w:t>
      </w:r>
      <w:r w:rsidR="00620FA1" w:rsidRPr="00A1725D">
        <w:rPr>
          <w:lang w:val="es-ES_tradnl"/>
        </w:rPr>
        <w:t xml:space="preserve"> </w:t>
      </w:r>
      <w:r w:rsidR="001465C4" w:rsidRPr="00A1725D">
        <w:rPr>
          <w:lang w:val="es-ES_tradnl"/>
        </w:rPr>
        <w:t>De modo parecido, e</w:t>
      </w:r>
      <w:r w:rsidR="00501331" w:rsidRPr="00A1725D">
        <w:rPr>
          <w:lang w:val="es-ES_tradnl"/>
        </w:rPr>
        <w:t xml:space="preserve">sto </w:t>
      </w:r>
      <w:r w:rsidR="001465C4" w:rsidRPr="00A1725D">
        <w:rPr>
          <w:lang w:val="es-ES_tradnl"/>
        </w:rPr>
        <w:t>dependerá</w:t>
      </w:r>
      <w:r w:rsidR="00501331" w:rsidRPr="00A1725D">
        <w:rPr>
          <w:lang w:val="es-ES_tradnl"/>
        </w:rPr>
        <w:t xml:space="preserve"> </w:t>
      </w:r>
      <w:r w:rsidR="001465C4" w:rsidRPr="00A1725D">
        <w:rPr>
          <w:lang w:val="es-ES_tradnl"/>
        </w:rPr>
        <w:t>d</w:t>
      </w:r>
      <w:r w:rsidR="00501331" w:rsidRPr="00A1725D">
        <w:rPr>
          <w:lang w:val="es-ES_tradnl"/>
        </w:rPr>
        <w:t>el carácter y la cantidad de los problemas que serán analizados, pero por lo general exigirá como mínimo otro medio día por cada miembro del equipo.</w:t>
      </w:r>
      <w:r w:rsidR="0017092F" w:rsidRPr="00A1725D">
        <w:rPr>
          <w:lang w:val="es-ES_tradnl"/>
        </w:rPr>
        <w:t xml:space="preserve">  </w:t>
      </w:r>
    </w:p>
    <w:p w:rsidR="000A7CBD" w:rsidRPr="00A1725D" w:rsidRDefault="000A7CBD" w:rsidP="00625949">
      <w:pPr>
        <w:rPr>
          <w:lang w:val="es-ES_tradnl"/>
        </w:rPr>
      </w:pPr>
    </w:p>
    <w:p w:rsidR="00147D08" w:rsidRPr="00A1725D" w:rsidRDefault="00501331" w:rsidP="00625949">
      <w:pPr>
        <w:rPr>
          <w:b/>
          <w:i/>
          <w:lang w:val="es-ES_tradnl"/>
        </w:rPr>
      </w:pPr>
      <w:r w:rsidRPr="00A1725D">
        <w:rPr>
          <w:b/>
          <w:i/>
          <w:lang w:val="es-ES_tradnl"/>
        </w:rPr>
        <w:t>Informe y seguimiento</w:t>
      </w:r>
    </w:p>
    <w:p w:rsidR="00147D08" w:rsidRPr="00A1725D" w:rsidRDefault="00501331" w:rsidP="002E600D">
      <w:pPr>
        <w:jc w:val="both"/>
        <w:rPr>
          <w:lang w:val="es-ES_tradnl"/>
        </w:rPr>
      </w:pPr>
      <w:r w:rsidRPr="00A1725D">
        <w:rPr>
          <w:lang w:val="es-ES_tradnl"/>
        </w:rPr>
        <w:t>Esta actividad también estará a cargo del jefe del equipo y variará según la canti</w:t>
      </w:r>
      <w:r w:rsidR="00D429D5" w:rsidRPr="00A1725D">
        <w:rPr>
          <w:lang w:val="es-ES_tradnl"/>
        </w:rPr>
        <w:t>dad y el tipo de los resultados;</w:t>
      </w:r>
      <w:r w:rsidR="00147D08" w:rsidRPr="00A1725D">
        <w:rPr>
          <w:lang w:val="es-ES_tradnl"/>
        </w:rPr>
        <w:t xml:space="preserve"> </w:t>
      </w:r>
      <w:r w:rsidR="00D429D5" w:rsidRPr="00A1725D">
        <w:rPr>
          <w:lang w:val="es-ES_tradnl"/>
        </w:rPr>
        <w:t>por lo común</w:t>
      </w:r>
      <w:r w:rsidRPr="00A1725D">
        <w:rPr>
          <w:lang w:val="es-ES_tradnl"/>
        </w:rPr>
        <w:t xml:space="preserve"> requeriría como mínimo otro día-</w:t>
      </w:r>
      <w:r w:rsidR="00D429D5" w:rsidRPr="00A1725D">
        <w:rPr>
          <w:lang w:val="es-ES_tradnl"/>
        </w:rPr>
        <w:t>hombre</w:t>
      </w:r>
      <w:r w:rsidRPr="00A1725D">
        <w:rPr>
          <w:lang w:val="es-ES_tradnl"/>
        </w:rPr>
        <w:t>, pero puede exigir más tiempo dependiendo del caráct</w:t>
      </w:r>
      <w:r w:rsidR="001465C4" w:rsidRPr="00A1725D">
        <w:rPr>
          <w:lang w:val="es-ES_tradnl"/>
        </w:rPr>
        <w:t>er y el volumen</w:t>
      </w:r>
      <w:r w:rsidRPr="00A1725D">
        <w:rPr>
          <w:lang w:val="es-ES_tradnl"/>
        </w:rPr>
        <w:t xml:space="preserve"> de los resultados y </w:t>
      </w:r>
      <w:r w:rsidR="00607B1F" w:rsidRPr="00A1725D">
        <w:rPr>
          <w:lang w:val="es-ES_tradnl"/>
        </w:rPr>
        <w:t>el</w:t>
      </w:r>
      <w:r w:rsidRPr="00A1725D">
        <w:rPr>
          <w:lang w:val="es-ES_tradnl"/>
        </w:rPr>
        <w:t xml:space="preserve"> plan</w:t>
      </w:r>
      <w:r w:rsidR="00607B1F" w:rsidRPr="00A1725D">
        <w:rPr>
          <w:lang w:val="es-ES_tradnl"/>
        </w:rPr>
        <w:t xml:space="preserve"> de medidas correctivas correspondiente</w:t>
      </w:r>
      <w:r w:rsidRPr="00A1725D">
        <w:rPr>
          <w:lang w:val="es-ES_tradnl"/>
        </w:rPr>
        <w:t xml:space="preserve">, junto con la necesidad de analizar y verificar las </w:t>
      </w:r>
      <w:r w:rsidRPr="00A1725D">
        <w:rPr>
          <w:lang w:val="es-ES_tradnl" w:eastAsia="zh-CN"/>
        </w:rPr>
        <w:t xml:space="preserve">faltas de conformidad, algunas de las </w:t>
      </w:r>
      <w:r w:rsidRPr="00A1725D">
        <w:rPr>
          <w:lang w:val="es-ES_tradnl" w:eastAsia="zh-CN"/>
        </w:rPr>
        <w:lastRenderedPageBreak/>
        <w:t>cuales puede</w:t>
      </w:r>
      <w:r w:rsidR="00607B1F" w:rsidRPr="00A1725D">
        <w:rPr>
          <w:lang w:val="es-ES_tradnl" w:eastAsia="zh-CN"/>
        </w:rPr>
        <w:t>n</w:t>
      </w:r>
      <w:r w:rsidRPr="00A1725D">
        <w:rPr>
          <w:lang w:val="es-ES_tradnl" w:eastAsia="zh-CN"/>
        </w:rPr>
        <w:t xml:space="preserve"> requerir una visita más, </w:t>
      </w:r>
      <w:r w:rsidR="00607B1F" w:rsidRPr="00A1725D">
        <w:rPr>
          <w:lang w:val="es-ES_tradnl" w:eastAsia="zh-CN"/>
        </w:rPr>
        <w:t>la cual</w:t>
      </w:r>
      <w:r w:rsidRPr="00A1725D">
        <w:rPr>
          <w:lang w:val="es-ES_tradnl" w:eastAsia="zh-CN"/>
        </w:rPr>
        <w:t xml:space="preserve"> vendría a agregarse al tiempo asignado a la visita de certificación inicial.</w:t>
      </w:r>
    </w:p>
    <w:p w:rsidR="00820C53" w:rsidRPr="00A1725D" w:rsidRDefault="00820C53" w:rsidP="00625949">
      <w:pPr>
        <w:rPr>
          <w:lang w:val="es-ES_tradnl"/>
        </w:rPr>
      </w:pPr>
    </w:p>
    <w:p w:rsidR="00820C53" w:rsidRPr="00A1725D" w:rsidRDefault="00501331" w:rsidP="00625949">
      <w:pPr>
        <w:rPr>
          <w:b/>
          <w:i/>
          <w:lang w:val="es-ES_tradnl"/>
        </w:rPr>
      </w:pPr>
      <w:r w:rsidRPr="00A1725D">
        <w:rPr>
          <w:b/>
          <w:i/>
          <w:lang w:val="es-ES_tradnl"/>
        </w:rPr>
        <w:t>Consideraciones</w:t>
      </w:r>
    </w:p>
    <w:p w:rsidR="00F35CC3" w:rsidRPr="00A1725D" w:rsidRDefault="00501331" w:rsidP="002E600D">
      <w:pPr>
        <w:jc w:val="both"/>
        <w:rPr>
          <w:lang w:val="es-ES_tradnl"/>
        </w:rPr>
      </w:pPr>
      <w:r w:rsidRPr="00A1725D">
        <w:rPr>
          <w:lang w:val="es-ES_tradnl"/>
        </w:rPr>
        <w:t xml:space="preserve">Es evidente que la cantidad de </w:t>
      </w:r>
      <w:r w:rsidR="00D67335" w:rsidRPr="00A1725D">
        <w:rPr>
          <w:lang w:val="es-ES_tradnl"/>
        </w:rPr>
        <w:t>días-hombre</w:t>
      </w:r>
      <w:r w:rsidR="00732C7E" w:rsidRPr="00A1725D">
        <w:rPr>
          <w:lang w:val="es-ES_tradnl"/>
        </w:rPr>
        <w:t xml:space="preserve"> necesario</w:t>
      </w:r>
      <w:r w:rsidRPr="00A1725D">
        <w:rPr>
          <w:lang w:val="es-ES_tradnl"/>
        </w:rPr>
        <w:t>s para una auditoría del PCC</w:t>
      </w:r>
      <w:r w:rsidR="00607B1F" w:rsidRPr="00A1725D">
        <w:rPr>
          <w:lang w:val="es-ES_tradnl"/>
        </w:rPr>
        <w:t xml:space="preserve"> puede aumentar o disminuir debido a una gran variedad de factores</w:t>
      </w:r>
      <w:r w:rsidRPr="00A1725D">
        <w:rPr>
          <w:lang w:val="es-ES_tradnl"/>
        </w:rPr>
        <w:t>, como son:</w:t>
      </w:r>
    </w:p>
    <w:p w:rsidR="00F35CC3" w:rsidRPr="00A1725D" w:rsidRDefault="00F35CC3" w:rsidP="002E600D">
      <w:pPr>
        <w:jc w:val="both"/>
        <w:rPr>
          <w:lang w:val="es-ES_tradnl"/>
        </w:rPr>
      </w:pPr>
    </w:p>
    <w:p w:rsidR="00F35CC3" w:rsidRPr="00A1725D" w:rsidRDefault="00501331" w:rsidP="002E600D">
      <w:pPr>
        <w:jc w:val="both"/>
        <w:rPr>
          <w:lang w:val="es-ES_tradnl"/>
        </w:rPr>
      </w:pPr>
      <w:r w:rsidRPr="00A1725D">
        <w:rPr>
          <w:lang w:val="es-ES_tradnl"/>
        </w:rPr>
        <w:t>Factores que aumentan</w:t>
      </w:r>
    </w:p>
    <w:p w:rsidR="00686E8C" w:rsidRPr="00A1725D" w:rsidRDefault="00501331" w:rsidP="002E600D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A1725D">
        <w:rPr>
          <w:lang w:val="es-ES_tradnl"/>
        </w:rPr>
        <w:t>El sistema incluye procesos muy complejos o una cantidad relativamente grande de actividades singulares.</w:t>
      </w:r>
    </w:p>
    <w:p w:rsidR="00F35CC3" w:rsidRPr="00A1725D" w:rsidRDefault="00607B1F" w:rsidP="002E600D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A1725D">
        <w:rPr>
          <w:lang w:val="es-ES_tradnl"/>
        </w:rPr>
        <w:t>L</w:t>
      </w:r>
      <w:r w:rsidR="00501331" w:rsidRPr="00A1725D">
        <w:rPr>
          <w:lang w:val="es-ES_tradnl"/>
        </w:rPr>
        <w:t>a logística</w:t>
      </w:r>
      <w:r w:rsidR="00732C7E" w:rsidRPr="00A1725D">
        <w:rPr>
          <w:lang w:val="es-ES_tradnl"/>
        </w:rPr>
        <w:t xml:space="preserve"> es complicada porque es ne</w:t>
      </w:r>
      <w:r w:rsidRPr="00A1725D">
        <w:rPr>
          <w:lang w:val="es-ES_tradnl"/>
        </w:rPr>
        <w:t>c</w:t>
      </w:r>
      <w:r w:rsidR="00732C7E" w:rsidRPr="00A1725D">
        <w:rPr>
          <w:lang w:val="es-ES_tradnl"/>
        </w:rPr>
        <w:t>e</w:t>
      </w:r>
      <w:r w:rsidRPr="00A1725D">
        <w:rPr>
          <w:lang w:val="es-ES_tradnl"/>
        </w:rPr>
        <w:t>sario</w:t>
      </w:r>
      <w:r w:rsidR="00501331" w:rsidRPr="00A1725D">
        <w:rPr>
          <w:lang w:val="es-ES_tradnl"/>
        </w:rPr>
        <w:t xml:space="preserve"> evaluar lugares muy grandes o varios lugares o edificios donde se lleva</w:t>
      </w:r>
      <w:r w:rsidRPr="00A1725D">
        <w:rPr>
          <w:lang w:val="es-ES_tradnl"/>
        </w:rPr>
        <w:t>n</w:t>
      </w:r>
      <w:r w:rsidR="00501331" w:rsidRPr="00A1725D">
        <w:rPr>
          <w:lang w:val="es-ES_tradnl"/>
        </w:rPr>
        <w:t xml:space="preserve"> a cabo </w:t>
      </w:r>
      <w:r w:rsidRPr="00A1725D">
        <w:rPr>
          <w:lang w:val="es-ES_tradnl"/>
        </w:rPr>
        <w:t>los</w:t>
      </w:r>
      <w:r w:rsidR="00501331" w:rsidRPr="00A1725D">
        <w:rPr>
          <w:lang w:val="es-ES_tradnl"/>
        </w:rPr>
        <w:t xml:space="preserve"> trabajo</w:t>
      </w:r>
      <w:r w:rsidRPr="00A1725D">
        <w:rPr>
          <w:lang w:val="es-ES_tradnl"/>
        </w:rPr>
        <w:t>s</w:t>
      </w:r>
      <w:r w:rsidR="00501331" w:rsidRPr="00A1725D">
        <w:rPr>
          <w:lang w:val="es-ES_tradnl"/>
        </w:rPr>
        <w:t>.</w:t>
      </w:r>
    </w:p>
    <w:p w:rsidR="00F35CC3" w:rsidRPr="00A1725D" w:rsidRDefault="00501331" w:rsidP="002E600D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A1725D">
        <w:rPr>
          <w:lang w:val="es-ES_tradnl"/>
        </w:rPr>
        <w:t>La necesidad de traducir información verbal y escrita.</w:t>
      </w:r>
    </w:p>
    <w:p w:rsidR="00686E8C" w:rsidRPr="00A1725D" w:rsidRDefault="00607B1F" w:rsidP="002E600D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A1725D">
        <w:rPr>
          <w:lang w:val="es-ES_tradnl"/>
        </w:rPr>
        <w:t>L</w:t>
      </w:r>
      <w:r w:rsidR="00501331" w:rsidRPr="00A1725D">
        <w:rPr>
          <w:lang w:val="es-ES_tradnl"/>
        </w:rPr>
        <w:t>a reglamentación nacional</w:t>
      </w:r>
      <w:r w:rsidRPr="00A1725D">
        <w:rPr>
          <w:lang w:val="es-ES_tradnl"/>
        </w:rPr>
        <w:t xml:space="preserve"> tiene muchos requisitos</w:t>
      </w:r>
      <w:r w:rsidR="00501331" w:rsidRPr="00A1725D">
        <w:rPr>
          <w:lang w:val="es-ES_tradnl"/>
        </w:rPr>
        <w:t>.</w:t>
      </w:r>
    </w:p>
    <w:p w:rsidR="00F35CC3" w:rsidRPr="00A1725D" w:rsidRDefault="00501331" w:rsidP="001211D1">
      <w:pPr>
        <w:pStyle w:val="ListParagraph"/>
        <w:numPr>
          <w:ilvl w:val="0"/>
          <w:numId w:val="4"/>
        </w:numPr>
        <w:jc w:val="both"/>
        <w:rPr>
          <w:lang w:val="es-ES_tradnl"/>
        </w:rPr>
      </w:pPr>
      <w:r w:rsidRPr="00A1725D">
        <w:rPr>
          <w:lang w:val="es-ES_tradnl"/>
        </w:rPr>
        <w:t>Otras cuestiones de importancia (</w:t>
      </w:r>
      <w:r w:rsidRPr="00A1725D">
        <w:rPr>
          <w:rFonts w:eastAsiaTheme="minorEastAsia"/>
          <w:lang w:val="es-ES_tradnl" w:eastAsia="zh-CN"/>
        </w:rPr>
        <w:t>p</w:t>
      </w:r>
      <w:r w:rsidR="001211D1">
        <w:rPr>
          <w:rFonts w:eastAsiaTheme="minorEastAsia"/>
          <w:lang w:val="es-ES_tradnl" w:eastAsia="zh-CN"/>
        </w:rPr>
        <w:t>.</w:t>
      </w:r>
      <w:r w:rsidRPr="00A1725D">
        <w:rPr>
          <w:rFonts w:eastAsiaTheme="minorEastAsia"/>
          <w:lang w:val="es-ES_tradnl" w:eastAsia="zh-CN"/>
        </w:rPr>
        <w:t xml:space="preserve"> ej</w:t>
      </w:r>
      <w:r w:rsidR="001211D1">
        <w:rPr>
          <w:rFonts w:eastAsiaTheme="minorEastAsia"/>
          <w:lang w:val="es-ES_tradnl" w:eastAsia="zh-CN"/>
        </w:rPr>
        <w:t>.</w:t>
      </w:r>
      <w:r w:rsidRPr="00A1725D">
        <w:rPr>
          <w:rFonts w:eastAsiaTheme="minorEastAsia"/>
          <w:lang w:val="es-ES_tradnl" w:eastAsia="zh-CN"/>
        </w:rPr>
        <w:t>,</w:t>
      </w:r>
      <w:r w:rsidRPr="00A1725D">
        <w:rPr>
          <w:lang w:val="es-ES_tradnl"/>
        </w:rPr>
        <w:t xml:space="preserve"> la necesidad de abarcar </w:t>
      </w:r>
      <w:r w:rsidR="00607B1F" w:rsidRPr="00A1725D">
        <w:rPr>
          <w:lang w:val="es-ES_tradnl"/>
        </w:rPr>
        <w:t>varios</w:t>
      </w:r>
      <w:r w:rsidRPr="00A1725D">
        <w:rPr>
          <w:lang w:val="es-ES_tradnl"/>
        </w:rPr>
        <w:t xml:space="preserve"> turnos de trabajo).</w:t>
      </w:r>
    </w:p>
    <w:p w:rsidR="00F35CC3" w:rsidRPr="00A1725D" w:rsidRDefault="00F35CC3" w:rsidP="002E600D">
      <w:pPr>
        <w:jc w:val="both"/>
        <w:rPr>
          <w:lang w:val="es-ES_tradnl"/>
        </w:rPr>
      </w:pPr>
    </w:p>
    <w:p w:rsidR="00F35CC3" w:rsidRPr="00A1725D" w:rsidRDefault="00501331" w:rsidP="002E600D">
      <w:pPr>
        <w:jc w:val="both"/>
        <w:rPr>
          <w:lang w:val="es-ES_tradnl"/>
        </w:rPr>
      </w:pPr>
      <w:r w:rsidRPr="00A1725D">
        <w:rPr>
          <w:lang w:val="es-ES_tradnl"/>
        </w:rPr>
        <w:t>Factores que disminuyen (Nota: una disminución máxima de</w:t>
      </w:r>
      <w:r w:rsidR="00607B1F" w:rsidRPr="00A1725D">
        <w:rPr>
          <w:lang w:val="es-ES_tradnl"/>
        </w:rPr>
        <w:t>l</w:t>
      </w:r>
      <w:r w:rsidRPr="00A1725D">
        <w:rPr>
          <w:lang w:val="es-ES_tradnl"/>
        </w:rPr>
        <w:t xml:space="preserve"> 30%)</w:t>
      </w:r>
    </w:p>
    <w:p w:rsidR="00F35CC3" w:rsidRPr="00A1725D" w:rsidRDefault="00501331" w:rsidP="002E600D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 w:rsidRPr="00A1725D">
        <w:rPr>
          <w:lang w:val="es-ES_tradnl"/>
        </w:rPr>
        <w:t>El alcance</w:t>
      </w:r>
      <w:r w:rsidR="00607B1F" w:rsidRPr="00A1725D">
        <w:rPr>
          <w:lang w:val="es-ES_tradnl"/>
        </w:rPr>
        <w:t xml:space="preserve"> de la a</w:t>
      </w:r>
      <w:r w:rsidR="00732C7E" w:rsidRPr="00A1725D">
        <w:rPr>
          <w:lang w:val="es-ES_tradnl"/>
        </w:rPr>
        <w:t>u</w:t>
      </w:r>
      <w:r w:rsidR="00607B1F" w:rsidRPr="00A1725D">
        <w:rPr>
          <w:lang w:val="es-ES_tradnl"/>
        </w:rPr>
        <w:t>ditoría</w:t>
      </w:r>
      <w:r w:rsidRPr="00A1725D">
        <w:rPr>
          <w:lang w:val="es-ES_tradnl"/>
        </w:rPr>
        <w:t xml:space="preserve"> no incluye todos los elementos.</w:t>
      </w:r>
      <w:r w:rsidR="00F35CC3" w:rsidRPr="00A1725D">
        <w:rPr>
          <w:lang w:val="es-ES_tradnl"/>
        </w:rPr>
        <w:tab/>
      </w:r>
    </w:p>
    <w:p w:rsidR="00F35CC3" w:rsidRPr="00A1725D" w:rsidRDefault="00607B1F" w:rsidP="002E600D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 w:rsidRPr="00A1725D">
        <w:rPr>
          <w:lang w:val="es-ES_tradnl"/>
        </w:rPr>
        <w:t>Sistemas de gestión consolidado</w:t>
      </w:r>
      <w:r w:rsidR="00501331" w:rsidRPr="00A1725D">
        <w:rPr>
          <w:lang w:val="es-ES_tradnl"/>
        </w:rPr>
        <w:t>s y familiarida</w:t>
      </w:r>
      <w:r w:rsidRPr="00A1725D">
        <w:rPr>
          <w:lang w:val="es-ES_tradnl"/>
        </w:rPr>
        <w:t>d</w:t>
      </w:r>
      <w:r w:rsidR="00501331" w:rsidRPr="00A1725D">
        <w:rPr>
          <w:lang w:val="es-ES_tradnl"/>
        </w:rPr>
        <w:t xml:space="preserve"> o experiencia </w:t>
      </w:r>
      <w:r w:rsidR="00732C7E" w:rsidRPr="00A1725D">
        <w:rPr>
          <w:lang w:val="es-ES_tradnl"/>
        </w:rPr>
        <w:t xml:space="preserve">derivada </w:t>
      </w:r>
      <w:r w:rsidR="00501331" w:rsidRPr="00A1725D">
        <w:rPr>
          <w:lang w:val="es-ES_tradnl"/>
        </w:rPr>
        <w:t>de evaluaciones anteriores.</w:t>
      </w:r>
      <w:r w:rsidR="00F35CC3" w:rsidRPr="00A1725D">
        <w:rPr>
          <w:lang w:val="es-ES_tradnl"/>
        </w:rPr>
        <w:tab/>
      </w:r>
    </w:p>
    <w:p w:rsidR="00F35CC3" w:rsidRPr="00A1725D" w:rsidRDefault="003B5783" w:rsidP="002E600D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 w:rsidRPr="00A1725D">
        <w:rPr>
          <w:lang w:val="es-ES_tradnl"/>
        </w:rPr>
        <w:t>Buena preparación del establecimiento para la certificación (</w:t>
      </w:r>
      <w:r w:rsidRPr="00A1725D">
        <w:rPr>
          <w:rFonts w:eastAsiaTheme="minorEastAsia"/>
          <w:lang w:val="es-ES_tradnl" w:eastAsia="zh-CN"/>
        </w:rPr>
        <w:t>por ejemplo, ya está certificado con respecto a una norma similar o equivalente reconocida por otro programa, en particular la</w:t>
      </w:r>
      <w:r w:rsidR="001211D1">
        <w:rPr>
          <w:rFonts w:eastAsiaTheme="minorEastAsia"/>
          <w:lang w:val="es-ES_tradnl" w:eastAsia="zh-CN"/>
        </w:rPr>
        <w:t> </w:t>
      </w:r>
      <w:r w:rsidR="001211D1">
        <w:rPr>
          <w:lang w:val="es-ES_tradnl"/>
        </w:rPr>
        <w:t>CWA </w:t>
      </w:r>
      <w:r w:rsidRPr="00A1725D">
        <w:rPr>
          <w:lang w:val="es-ES_tradnl"/>
        </w:rPr>
        <w:t>15793).</w:t>
      </w:r>
    </w:p>
    <w:p w:rsidR="00686E8C" w:rsidRPr="00A1725D" w:rsidRDefault="003B5783" w:rsidP="00A652CB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 w:rsidRPr="00A1725D">
        <w:rPr>
          <w:lang w:val="es-ES_tradnl"/>
        </w:rPr>
        <w:t xml:space="preserve">Las actividades tienen poca complejidad, como </w:t>
      </w:r>
      <w:r w:rsidR="00607B1F" w:rsidRPr="00A1725D">
        <w:rPr>
          <w:lang w:val="es-ES_tradnl"/>
        </w:rPr>
        <w:t>sería</w:t>
      </w:r>
      <w:r w:rsidRPr="00A1725D">
        <w:rPr>
          <w:lang w:val="es-ES_tradnl"/>
        </w:rPr>
        <w:t xml:space="preserve"> el caso de </w:t>
      </w:r>
      <w:r w:rsidR="00607B1F" w:rsidRPr="00A1725D">
        <w:rPr>
          <w:lang w:val="es-ES_tradnl"/>
        </w:rPr>
        <w:t>una sola</w:t>
      </w:r>
      <w:r w:rsidRPr="00A1725D">
        <w:rPr>
          <w:lang w:val="es-ES_tradnl"/>
        </w:rPr>
        <w:t xml:space="preserve"> actividad genérica (</w:t>
      </w:r>
      <w:r w:rsidRPr="00A1725D">
        <w:rPr>
          <w:rFonts w:eastAsiaTheme="minorEastAsia"/>
          <w:lang w:val="es-ES_tradnl" w:eastAsia="zh-CN"/>
        </w:rPr>
        <w:t>p</w:t>
      </w:r>
      <w:r w:rsidR="00A652CB">
        <w:rPr>
          <w:rFonts w:eastAsiaTheme="minorEastAsia"/>
          <w:lang w:val="es-ES_tradnl" w:eastAsia="zh-CN"/>
        </w:rPr>
        <w:t>. </w:t>
      </w:r>
      <w:r w:rsidRPr="00A1725D">
        <w:rPr>
          <w:rFonts w:eastAsiaTheme="minorEastAsia"/>
          <w:lang w:val="es-ES_tradnl" w:eastAsia="zh-CN"/>
        </w:rPr>
        <w:t>ej</w:t>
      </w:r>
      <w:r w:rsidR="00A652CB">
        <w:rPr>
          <w:rFonts w:eastAsiaTheme="minorEastAsia"/>
          <w:lang w:val="es-ES_tradnl" w:eastAsia="zh-CN"/>
        </w:rPr>
        <w:t>.</w:t>
      </w:r>
      <w:r w:rsidRPr="00A1725D">
        <w:rPr>
          <w:rFonts w:eastAsiaTheme="minorEastAsia"/>
          <w:lang w:val="es-ES_tradnl" w:eastAsia="zh-CN"/>
        </w:rPr>
        <w:t>, almacenamiento en un repositorio resguardado).</w:t>
      </w:r>
      <w:r w:rsidRPr="00A1725D">
        <w:rPr>
          <w:lang w:val="es-ES_tradnl"/>
        </w:rPr>
        <w:t xml:space="preserve"> </w:t>
      </w:r>
    </w:p>
    <w:p w:rsidR="00686E8C" w:rsidRPr="00A1725D" w:rsidRDefault="003B5783" w:rsidP="002E600D">
      <w:pPr>
        <w:pStyle w:val="ListParagraph"/>
        <w:numPr>
          <w:ilvl w:val="0"/>
          <w:numId w:val="5"/>
        </w:numPr>
        <w:jc w:val="both"/>
        <w:rPr>
          <w:lang w:val="es-ES_tradnl"/>
        </w:rPr>
      </w:pPr>
      <w:r w:rsidRPr="00A1725D">
        <w:rPr>
          <w:lang w:val="es-ES_tradnl"/>
        </w:rPr>
        <w:t>Otros factores pertinentes.</w:t>
      </w:r>
    </w:p>
    <w:p w:rsidR="00620FA1" w:rsidRPr="00A1725D" w:rsidRDefault="00620FA1" w:rsidP="002E600D">
      <w:pPr>
        <w:jc w:val="both"/>
        <w:rPr>
          <w:lang w:val="es-ES_tradnl"/>
        </w:rPr>
      </w:pPr>
    </w:p>
    <w:p w:rsidR="00620FA1" w:rsidRPr="00A1725D" w:rsidRDefault="003B5783" w:rsidP="002E600D">
      <w:pPr>
        <w:jc w:val="both"/>
        <w:rPr>
          <w:lang w:val="es-ES_tradnl"/>
        </w:rPr>
      </w:pPr>
      <w:r w:rsidRPr="00A1725D">
        <w:rPr>
          <w:lang w:val="es-ES_tradnl"/>
        </w:rPr>
        <w:t xml:space="preserve">La cantidad de </w:t>
      </w:r>
      <w:r w:rsidR="00607B1F" w:rsidRPr="00A1725D">
        <w:rPr>
          <w:lang w:val="es-ES_tradnl"/>
        </w:rPr>
        <w:t>días</w:t>
      </w:r>
      <w:r w:rsidRPr="00A1725D">
        <w:rPr>
          <w:lang w:val="es-ES_tradnl"/>
        </w:rPr>
        <w:t>-hombre, incluida cualquier consideración específica que ocasione un aumento o una disminución considerables, deberá indicarse en el informe de la auditoría presentado a</w:t>
      </w:r>
      <w:r w:rsidR="00607B1F" w:rsidRPr="00A1725D">
        <w:rPr>
          <w:lang w:val="es-ES_tradnl"/>
        </w:rPr>
        <w:t xml:space="preserve"> </w:t>
      </w:r>
      <w:r w:rsidRPr="00A1725D">
        <w:rPr>
          <w:lang w:val="es-ES_tradnl"/>
        </w:rPr>
        <w:t>l</w:t>
      </w:r>
      <w:r w:rsidR="00607B1F" w:rsidRPr="00A1725D">
        <w:rPr>
          <w:lang w:val="es-ES_tradnl"/>
        </w:rPr>
        <w:t>a</w:t>
      </w:r>
      <w:r w:rsidRPr="00A1725D">
        <w:rPr>
          <w:lang w:val="es-ES_tradnl"/>
        </w:rPr>
        <w:t xml:space="preserve"> </w:t>
      </w:r>
      <w:r w:rsidR="00607B1F" w:rsidRPr="00A1725D">
        <w:rPr>
          <w:lang w:val="es-ES_tradnl"/>
        </w:rPr>
        <w:t>Comisión Mundial de Certificación de la Erradicación de la Poliomielitis</w:t>
      </w:r>
      <w:r w:rsidRPr="00A1725D">
        <w:rPr>
          <w:lang w:val="es-ES_tradnl"/>
        </w:rPr>
        <w:t>.</w:t>
      </w:r>
      <w:r w:rsidR="00620FA1" w:rsidRPr="00A1725D">
        <w:rPr>
          <w:lang w:val="es-ES_tradnl"/>
        </w:rPr>
        <w:t xml:space="preserve"> </w:t>
      </w:r>
      <w:r w:rsidR="00330F94" w:rsidRPr="00A1725D">
        <w:rPr>
          <w:lang w:val="es-ES_tradnl"/>
        </w:rPr>
        <w:t xml:space="preserve">La omisión de un cálculo justificable de la cantidad de </w:t>
      </w:r>
      <w:r w:rsidR="00D67335" w:rsidRPr="00A1725D">
        <w:rPr>
          <w:lang w:val="es-ES_tradnl"/>
        </w:rPr>
        <w:t>días-hombre</w:t>
      </w:r>
      <w:r w:rsidR="00330F94" w:rsidRPr="00A1725D">
        <w:rPr>
          <w:lang w:val="es-ES_tradnl"/>
        </w:rPr>
        <w:t xml:space="preserve"> puede poner en riesgo el aval de</w:t>
      </w:r>
      <w:r w:rsidR="00607B1F" w:rsidRPr="00A1725D">
        <w:rPr>
          <w:lang w:val="es-ES_tradnl"/>
        </w:rPr>
        <w:t xml:space="preserve"> </w:t>
      </w:r>
      <w:r w:rsidR="00330F94" w:rsidRPr="00A1725D">
        <w:rPr>
          <w:lang w:val="es-ES_tradnl"/>
        </w:rPr>
        <w:t>l</w:t>
      </w:r>
      <w:r w:rsidR="00607B1F" w:rsidRPr="00A1725D">
        <w:rPr>
          <w:lang w:val="es-ES_tradnl"/>
        </w:rPr>
        <w:t>a CME</w:t>
      </w:r>
      <w:r w:rsidR="00330F94" w:rsidRPr="00A1725D">
        <w:rPr>
          <w:lang w:val="es-ES_tradnl"/>
        </w:rPr>
        <w:t xml:space="preserve"> a un certificado de confinamiento.</w:t>
      </w:r>
    </w:p>
    <w:p w:rsidR="00F35CC3" w:rsidRPr="00A1725D" w:rsidRDefault="00F35CC3" w:rsidP="002E600D">
      <w:pPr>
        <w:jc w:val="both"/>
        <w:rPr>
          <w:lang w:val="es-ES_tradnl"/>
        </w:rPr>
      </w:pPr>
    </w:p>
    <w:p w:rsidR="00F35CC3" w:rsidRPr="00A1725D" w:rsidRDefault="00330F94" w:rsidP="002E600D">
      <w:pPr>
        <w:jc w:val="both"/>
        <w:rPr>
          <w:b/>
          <w:i/>
          <w:sz w:val="24"/>
          <w:szCs w:val="24"/>
          <w:lang w:val="es-ES_tradnl"/>
        </w:rPr>
      </w:pPr>
      <w:r w:rsidRPr="00A1725D">
        <w:rPr>
          <w:b/>
          <w:i/>
          <w:sz w:val="24"/>
          <w:szCs w:val="24"/>
          <w:lang w:val="es-ES_tradnl"/>
        </w:rPr>
        <w:t>Agenda ilustrativa</w:t>
      </w:r>
    </w:p>
    <w:p w:rsidR="00A21E8F" w:rsidRPr="00A1725D" w:rsidRDefault="00732C7E" w:rsidP="002E600D">
      <w:pPr>
        <w:jc w:val="both"/>
        <w:rPr>
          <w:lang w:val="es-ES_tradnl"/>
        </w:rPr>
      </w:pPr>
      <w:r w:rsidRPr="00A1725D">
        <w:rPr>
          <w:lang w:val="es-ES_tradnl"/>
        </w:rPr>
        <w:t>A guisa de ejemplo, s</w:t>
      </w:r>
      <w:r w:rsidR="00330F94" w:rsidRPr="00A1725D">
        <w:rPr>
          <w:lang w:val="es-ES_tradnl"/>
        </w:rPr>
        <w:t xml:space="preserve">e presenta a continuación </w:t>
      </w:r>
      <w:r w:rsidR="00607B1F" w:rsidRPr="00A1725D">
        <w:rPr>
          <w:lang w:val="es-ES_tradnl"/>
        </w:rPr>
        <w:t>l</w:t>
      </w:r>
      <w:r w:rsidR="00330F94" w:rsidRPr="00A1725D">
        <w:rPr>
          <w:lang w:val="es-ES_tradnl"/>
        </w:rPr>
        <w:t>a agenda</w:t>
      </w:r>
      <w:r w:rsidRPr="00A1725D">
        <w:rPr>
          <w:lang w:val="es-ES_tradnl"/>
        </w:rPr>
        <w:t xml:space="preserve"> ficticia</w:t>
      </w:r>
      <w:r w:rsidR="00330F94" w:rsidRPr="00A1725D">
        <w:rPr>
          <w:lang w:val="es-ES_tradnl"/>
        </w:rPr>
        <w:t xml:space="preserve"> </w:t>
      </w:r>
      <w:r w:rsidR="00607B1F" w:rsidRPr="00A1725D">
        <w:rPr>
          <w:lang w:val="es-ES_tradnl"/>
        </w:rPr>
        <w:t>de</w:t>
      </w:r>
      <w:r w:rsidR="00330F94" w:rsidRPr="00A1725D">
        <w:rPr>
          <w:lang w:val="es-ES_tradnl"/>
        </w:rPr>
        <w:t xml:space="preserve"> una auditoría inicial de alcance completo.</w:t>
      </w:r>
      <w:r w:rsidR="00033698" w:rsidRPr="00A1725D">
        <w:rPr>
          <w:lang w:val="es-ES_tradnl"/>
        </w:rPr>
        <w:t xml:space="preserve"> </w:t>
      </w:r>
      <w:r w:rsidR="00330F94" w:rsidRPr="00A1725D">
        <w:rPr>
          <w:lang w:val="es-ES_tradnl"/>
        </w:rPr>
        <w:t xml:space="preserve">La asignación de los miembros del equipo a diferentes entrevistas ayudará a calcular los </w:t>
      </w:r>
      <w:r w:rsidR="00D67335" w:rsidRPr="00A1725D">
        <w:rPr>
          <w:lang w:val="es-ES_tradnl"/>
        </w:rPr>
        <w:t>días-hombre</w:t>
      </w:r>
      <w:r w:rsidR="00330F94" w:rsidRPr="00A1725D">
        <w:rPr>
          <w:lang w:val="es-ES_tradnl"/>
        </w:rPr>
        <w:t xml:space="preserve"> para la auditoría.</w:t>
      </w:r>
      <w:r w:rsidR="00033698" w:rsidRPr="00A1725D">
        <w:rPr>
          <w:lang w:val="es-ES_tradnl"/>
        </w:rPr>
        <w:t xml:space="preserve"> </w:t>
      </w:r>
    </w:p>
    <w:p w:rsidR="00A21E8F" w:rsidRPr="00A1725D" w:rsidRDefault="00A21E8F" w:rsidP="00F35CC3">
      <w:pPr>
        <w:rPr>
          <w:lang w:val="es-ES_tradnl"/>
        </w:rPr>
      </w:pP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730"/>
        <w:gridCol w:w="1348"/>
        <w:gridCol w:w="1348"/>
        <w:gridCol w:w="1731"/>
        <w:gridCol w:w="1348"/>
        <w:gridCol w:w="1344"/>
      </w:tblGrid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Equipo 1</w:t>
            </w:r>
          </w:p>
        </w:tc>
        <w:tc>
          <w:tcPr>
            <w:tcW w:w="6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Entrevistados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Miembros del equipo 1</w:t>
            </w:r>
          </w:p>
        </w:tc>
        <w:tc>
          <w:tcPr>
            <w:tcW w:w="8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Equipo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Entrevistados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Miembros del equipo 2</w:t>
            </w: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Lunes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4A1DB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Reunión de apertura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Administración y todos los involucrados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Todos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4A1DB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9.30-</w:t>
            </w:r>
            <w:r w:rsidR="0054108A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12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Examen de documentos, orientación y recorrido del lugar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13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 xml:space="preserve">Sistemas de gestión de los </w:t>
            </w:r>
            <w:r w:rsidRPr="00A1725D">
              <w:rPr>
                <w:rFonts w:eastAsiaTheme="minorEastAsia" w:cs="Arial"/>
                <w:sz w:val="16"/>
                <w:szCs w:val="16"/>
                <w:lang w:val="es-ES_tradnl" w:eastAsia="en-GB"/>
              </w:rPr>
              <w:t>riesgos biológicos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17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330F94" w:rsidP="00413442">
            <w:pPr>
              <w:keepNext/>
              <w:keepLines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lastRenderedPageBreak/>
              <w:t>Martes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F74FB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 w:rsidR="0054108A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12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413442">
            <w:pPr>
              <w:keepNext/>
              <w:keepLines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Evaluación de riesgos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413442">
            <w:pPr>
              <w:keepNext/>
              <w:keepLines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Técnicas microbiológicas apropiadas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413442">
            <w:pPr>
              <w:keepNext/>
              <w:keepLines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Inventario de agentes patógenos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13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Desinfección, descontaminación y esterilización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Respuesta frente a emergencias y planes de contingencia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Ropas y equipo de protección personal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Investigación de un accidente o incidente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17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Miércoles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DF3B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 w:rsidR="0054108A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Personal y competencia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Procedimientos de transporte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12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Atención médica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Protección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13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Equipo y mantenimiento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Factores humanos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Requisitos físicos del establecimient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Seguridad general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.30-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17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Resumen y examen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Jueves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DF3B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 w:rsidR="0054108A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12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13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16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Visitas al establecimiento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b/>
                <w:bCs/>
                <w:sz w:val="16"/>
                <w:szCs w:val="16"/>
                <w:lang w:val="es-ES_tradnl" w:eastAsia="en-GB"/>
              </w:rPr>
              <w:t>Viernes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DF3B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es-ES_tradnl" w:eastAsia="en-GB"/>
              </w:rPr>
              <w:t>0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9.00-</w:t>
            </w:r>
            <w:r w:rsidR="0054108A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12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Verificaciones y preparación de la presentación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1725D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Almuerzo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  <w:tr w:rsidR="0054108A" w:rsidRPr="00A652CB" w:rsidTr="0054108A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13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.00-</w:t>
            </w: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14</w:t>
            </w:r>
            <w:r w:rsidR="00732C7E"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.00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330F94" w:rsidP="00056C65">
            <w:pPr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Presentación y clausura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330F94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  <w:r w:rsidRPr="00A1725D">
              <w:rPr>
                <w:rFonts w:eastAsia="Times New Roman" w:cs="Arial"/>
                <w:sz w:val="16"/>
                <w:szCs w:val="16"/>
                <w:lang w:val="es-ES_tradnl" w:eastAsia="en-GB"/>
              </w:rPr>
              <w:t>Administración y todos los involucrados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08A" w:rsidRPr="00A1725D" w:rsidRDefault="0054108A" w:rsidP="00056C65">
            <w:pPr>
              <w:jc w:val="center"/>
              <w:rPr>
                <w:rFonts w:eastAsia="Times New Roman" w:cs="Arial"/>
                <w:sz w:val="16"/>
                <w:szCs w:val="16"/>
                <w:lang w:val="es-ES_tradnl" w:eastAsia="en-GB"/>
              </w:rPr>
            </w:pPr>
          </w:p>
        </w:tc>
      </w:tr>
    </w:tbl>
    <w:p w:rsidR="00F35CC3" w:rsidRPr="00A1725D" w:rsidRDefault="00F35CC3" w:rsidP="00625949">
      <w:pPr>
        <w:rPr>
          <w:lang w:val="es-ES_tradnl"/>
        </w:rPr>
      </w:pPr>
    </w:p>
    <w:sectPr w:rsidR="00F35CC3" w:rsidRPr="00A1725D" w:rsidSect="00C237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346" w:right="1008" w:bottom="864" w:left="1008" w:header="709" w:footer="6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12" w:rsidRDefault="00793912">
      <w:r>
        <w:separator/>
      </w:r>
    </w:p>
  </w:endnote>
  <w:endnote w:type="continuationSeparator" w:id="0">
    <w:p w:rsidR="00793912" w:rsidRDefault="0079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6" w:rsidRDefault="009E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Pr="009E3986" w:rsidRDefault="009E3986" w:rsidP="00017893">
    <w:pPr>
      <w:pStyle w:val="Footer"/>
      <w:jc w:val="right"/>
      <w:rPr>
        <w:lang w:val="es-ES_tradnl"/>
      </w:rPr>
    </w:pPr>
    <w:r w:rsidRPr="009E3986">
      <w:rPr>
        <w:sz w:val="16"/>
        <w:lang w:val="es-ES_tradnl"/>
      </w:rPr>
      <w:t>Página</w:t>
    </w:r>
    <w:r w:rsidR="00F87D67" w:rsidRPr="009E3986">
      <w:rPr>
        <w:sz w:val="16"/>
        <w:lang w:val="es-ES_tradnl"/>
      </w:rPr>
      <w:t xml:space="preserve"> </w:t>
    </w:r>
    <w:r w:rsidR="00F87D67" w:rsidRPr="009E3986">
      <w:rPr>
        <w:b/>
        <w:bCs/>
        <w:sz w:val="18"/>
        <w:szCs w:val="24"/>
        <w:lang w:val="es-ES_tradnl"/>
      </w:rPr>
      <w:fldChar w:fldCharType="begin"/>
    </w:r>
    <w:r w:rsidR="00F87D67" w:rsidRPr="009E3986">
      <w:rPr>
        <w:b/>
        <w:bCs/>
        <w:sz w:val="16"/>
        <w:lang w:val="es-ES_tradnl"/>
      </w:rPr>
      <w:instrText xml:space="preserve"> PAGE </w:instrText>
    </w:r>
    <w:r w:rsidR="00F87D67" w:rsidRPr="009E3986">
      <w:rPr>
        <w:b/>
        <w:bCs/>
        <w:sz w:val="18"/>
        <w:szCs w:val="24"/>
        <w:lang w:val="es-ES_tradnl"/>
      </w:rPr>
      <w:fldChar w:fldCharType="separate"/>
    </w:r>
    <w:r w:rsidR="0023062B">
      <w:rPr>
        <w:b/>
        <w:bCs/>
        <w:noProof/>
        <w:sz w:val="16"/>
        <w:lang w:val="es-ES_tradnl"/>
      </w:rPr>
      <w:t>1</w:t>
    </w:r>
    <w:r w:rsidR="00F87D67" w:rsidRPr="009E3986">
      <w:rPr>
        <w:b/>
        <w:bCs/>
        <w:sz w:val="18"/>
        <w:szCs w:val="24"/>
        <w:lang w:val="es-ES_tradnl"/>
      </w:rPr>
      <w:fldChar w:fldCharType="end"/>
    </w:r>
    <w:r w:rsidR="00F87D67" w:rsidRPr="009E3986">
      <w:rPr>
        <w:sz w:val="16"/>
        <w:lang w:val="es-ES_tradnl"/>
      </w:rPr>
      <w:t xml:space="preserve"> </w:t>
    </w:r>
    <w:r w:rsidRPr="009E3986">
      <w:rPr>
        <w:sz w:val="16"/>
        <w:lang w:val="es-ES_tradnl"/>
      </w:rPr>
      <w:t>de</w:t>
    </w:r>
    <w:r w:rsidR="00F87D67" w:rsidRPr="009E3986">
      <w:rPr>
        <w:sz w:val="16"/>
        <w:lang w:val="es-ES_tradnl"/>
      </w:rPr>
      <w:t xml:space="preserve"> </w:t>
    </w:r>
    <w:r w:rsidR="00F87D67" w:rsidRPr="009E3986">
      <w:rPr>
        <w:b/>
        <w:bCs/>
        <w:sz w:val="18"/>
        <w:szCs w:val="24"/>
        <w:lang w:val="es-ES_tradnl"/>
      </w:rPr>
      <w:fldChar w:fldCharType="begin"/>
    </w:r>
    <w:r w:rsidR="00F87D67" w:rsidRPr="009E3986">
      <w:rPr>
        <w:b/>
        <w:bCs/>
        <w:sz w:val="16"/>
        <w:lang w:val="es-ES_tradnl"/>
      </w:rPr>
      <w:instrText xml:space="preserve"> NUMPAGES  </w:instrText>
    </w:r>
    <w:r w:rsidR="00F87D67" w:rsidRPr="009E3986">
      <w:rPr>
        <w:b/>
        <w:bCs/>
        <w:sz w:val="18"/>
        <w:szCs w:val="24"/>
        <w:lang w:val="es-ES_tradnl"/>
      </w:rPr>
      <w:fldChar w:fldCharType="separate"/>
    </w:r>
    <w:r w:rsidR="0023062B">
      <w:rPr>
        <w:b/>
        <w:bCs/>
        <w:noProof/>
        <w:sz w:val="16"/>
        <w:lang w:val="es-ES_tradnl"/>
      </w:rPr>
      <w:t>3</w:t>
    </w:r>
    <w:r w:rsidR="00F87D67" w:rsidRPr="009E3986">
      <w:rPr>
        <w:b/>
        <w:bCs/>
        <w:sz w:val="18"/>
        <w:szCs w:val="24"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AB1C72">
    <w:pPr>
      <w:pStyle w:val="Footer"/>
      <w:tabs>
        <w:tab w:val="right" w:pos="10224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017893">
      <w:rPr>
        <w:sz w:val="16"/>
      </w:rPr>
      <w:t xml:space="preserve">Page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PAGE </w:instrText>
    </w:r>
    <w:r w:rsidRPr="00017893">
      <w:rPr>
        <w:b/>
        <w:bCs/>
        <w:sz w:val="18"/>
        <w:szCs w:val="24"/>
      </w:rPr>
      <w:fldChar w:fldCharType="separate"/>
    </w:r>
    <w:r>
      <w:rPr>
        <w:b/>
        <w:bCs/>
        <w:noProof/>
        <w:sz w:val="16"/>
      </w:rPr>
      <w:t>1</w:t>
    </w:r>
    <w:r w:rsidRPr="00017893">
      <w:rPr>
        <w:b/>
        <w:bCs/>
        <w:sz w:val="18"/>
        <w:szCs w:val="24"/>
      </w:rPr>
      <w:fldChar w:fldCharType="end"/>
    </w:r>
    <w:r w:rsidRPr="00017893">
      <w:rPr>
        <w:sz w:val="16"/>
      </w:rPr>
      <w:t xml:space="preserve"> of </w:t>
    </w:r>
    <w:r w:rsidRPr="00017893">
      <w:rPr>
        <w:b/>
        <w:bCs/>
        <w:sz w:val="18"/>
        <w:szCs w:val="24"/>
      </w:rPr>
      <w:fldChar w:fldCharType="begin"/>
    </w:r>
    <w:r w:rsidRPr="00017893">
      <w:rPr>
        <w:b/>
        <w:bCs/>
        <w:sz w:val="16"/>
      </w:rPr>
      <w:instrText xml:space="preserve"> NUMPAGES  </w:instrText>
    </w:r>
    <w:r w:rsidRPr="00017893">
      <w:rPr>
        <w:b/>
        <w:bCs/>
        <w:sz w:val="18"/>
        <w:szCs w:val="24"/>
      </w:rPr>
      <w:fldChar w:fldCharType="separate"/>
    </w:r>
    <w:r w:rsidR="00E749E3">
      <w:rPr>
        <w:b/>
        <w:bCs/>
        <w:noProof/>
        <w:sz w:val="16"/>
      </w:rPr>
      <w:t>3</w:t>
    </w:r>
    <w:r w:rsidRPr="00017893">
      <w:rPr>
        <w:b/>
        <w:bCs/>
        <w:sz w:val="18"/>
        <w:szCs w:val="24"/>
      </w:rPr>
      <w:fldChar w:fldCharType="end"/>
    </w:r>
  </w:p>
  <w:p w:rsidR="00F87D67" w:rsidRPr="00567FB0" w:rsidRDefault="00F87D67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12" w:rsidRDefault="00793912">
      <w:r>
        <w:separator/>
      </w:r>
    </w:p>
  </w:footnote>
  <w:footnote w:type="continuationSeparator" w:id="0">
    <w:p w:rsidR="00793912" w:rsidRDefault="00793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23062B">
    <w:pPr>
      <w:pStyle w:val="Header"/>
    </w:pPr>
    <w:r>
      <w:rPr>
        <w:noProof/>
      </w:rPr>
      <w:pict w14:anchorId="20FC00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Pr="0069734D" w:rsidRDefault="0069734D" w:rsidP="0069734D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3629936</wp:posOffset>
          </wp:positionH>
          <wp:positionV relativeFrom="paragraph">
            <wp:posOffset>-100827</wp:posOffset>
          </wp:positionV>
          <wp:extent cx="3122295" cy="336550"/>
          <wp:effectExtent l="0" t="0" r="1905" b="6350"/>
          <wp:wrapNone/>
          <wp:docPr id="1" name="Picture 1" descr="\\WIMS.who.int\HQ\GVA11\Home\HSINGH\Desktop\CCS Everything\CCS Final\Logos\GAPIII-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WIMS.who.int\HQ\GVA11\Home\HSINGH\Desktop\CCS Everything\CCS Final\Logos\GAPIII-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29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23062B">
    <w:pPr>
      <w:pStyle w:val="Header"/>
    </w:pPr>
    <w:r>
      <w:rPr>
        <w:noProof/>
      </w:rPr>
      <w:pict w14:anchorId="7EB68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672"/>
    <w:multiLevelType w:val="hybridMultilevel"/>
    <w:tmpl w:val="EE3C1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530BC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F713B"/>
    <w:multiLevelType w:val="hybridMultilevel"/>
    <w:tmpl w:val="657CE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B309A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F77FB"/>
    <w:multiLevelType w:val="hybridMultilevel"/>
    <w:tmpl w:val="3F48F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368A"/>
    <w:rsid w:val="00033698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976"/>
    <w:rsid w:val="00074C49"/>
    <w:rsid w:val="0007784D"/>
    <w:rsid w:val="0008170E"/>
    <w:rsid w:val="0008371A"/>
    <w:rsid w:val="00083AF2"/>
    <w:rsid w:val="00086255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A7CBD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1DA9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31A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11D1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5D34"/>
    <w:rsid w:val="001463FE"/>
    <w:rsid w:val="001465C4"/>
    <w:rsid w:val="00146D67"/>
    <w:rsid w:val="00147D08"/>
    <w:rsid w:val="00150DD7"/>
    <w:rsid w:val="00151065"/>
    <w:rsid w:val="00151B2B"/>
    <w:rsid w:val="00152A04"/>
    <w:rsid w:val="00153988"/>
    <w:rsid w:val="00153E57"/>
    <w:rsid w:val="00154300"/>
    <w:rsid w:val="001548CE"/>
    <w:rsid w:val="0015497E"/>
    <w:rsid w:val="0015623C"/>
    <w:rsid w:val="001615A7"/>
    <w:rsid w:val="001620B2"/>
    <w:rsid w:val="0016292E"/>
    <w:rsid w:val="00163583"/>
    <w:rsid w:val="0016465C"/>
    <w:rsid w:val="0017092F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5C27"/>
    <w:rsid w:val="00196634"/>
    <w:rsid w:val="0019748E"/>
    <w:rsid w:val="00197C23"/>
    <w:rsid w:val="001A1D5B"/>
    <w:rsid w:val="001A2B36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4FC3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062B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3D1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22B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1BE4"/>
    <w:rsid w:val="002B2745"/>
    <w:rsid w:val="002B2AD1"/>
    <w:rsid w:val="002B2F39"/>
    <w:rsid w:val="002B34BA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181D"/>
    <w:rsid w:val="002D219D"/>
    <w:rsid w:val="002D4C37"/>
    <w:rsid w:val="002D51A1"/>
    <w:rsid w:val="002E0852"/>
    <w:rsid w:val="002E2E3B"/>
    <w:rsid w:val="002E3DA9"/>
    <w:rsid w:val="002E5407"/>
    <w:rsid w:val="002E600D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0F94"/>
    <w:rsid w:val="00331DAB"/>
    <w:rsid w:val="0033222C"/>
    <w:rsid w:val="00334FD1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1E59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0B75"/>
    <w:rsid w:val="003B1C0A"/>
    <w:rsid w:val="003B1E92"/>
    <w:rsid w:val="003B2B93"/>
    <w:rsid w:val="003B348F"/>
    <w:rsid w:val="003B460A"/>
    <w:rsid w:val="003B5783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47E"/>
    <w:rsid w:val="003E77F5"/>
    <w:rsid w:val="003F0093"/>
    <w:rsid w:val="003F35C4"/>
    <w:rsid w:val="003F6308"/>
    <w:rsid w:val="003F74FB"/>
    <w:rsid w:val="003F759D"/>
    <w:rsid w:val="00400968"/>
    <w:rsid w:val="0040157F"/>
    <w:rsid w:val="004026F1"/>
    <w:rsid w:val="004036BF"/>
    <w:rsid w:val="0040393C"/>
    <w:rsid w:val="00403B21"/>
    <w:rsid w:val="00403DA1"/>
    <w:rsid w:val="00405B85"/>
    <w:rsid w:val="00405C24"/>
    <w:rsid w:val="0041333E"/>
    <w:rsid w:val="00413442"/>
    <w:rsid w:val="00414522"/>
    <w:rsid w:val="004160FC"/>
    <w:rsid w:val="004166D9"/>
    <w:rsid w:val="00417432"/>
    <w:rsid w:val="00417687"/>
    <w:rsid w:val="00417F76"/>
    <w:rsid w:val="00420831"/>
    <w:rsid w:val="00420FDD"/>
    <w:rsid w:val="004213E5"/>
    <w:rsid w:val="00421FF0"/>
    <w:rsid w:val="00424A12"/>
    <w:rsid w:val="00426F36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686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1DB4"/>
    <w:rsid w:val="004A3CA1"/>
    <w:rsid w:val="004A3D9E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1331"/>
    <w:rsid w:val="00502E28"/>
    <w:rsid w:val="005038A8"/>
    <w:rsid w:val="00503C78"/>
    <w:rsid w:val="00503E4E"/>
    <w:rsid w:val="00506104"/>
    <w:rsid w:val="00507887"/>
    <w:rsid w:val="00511B22"/>
    <w:rsid w:val="00512895"/>
    <w:rsid w:val="005129B7"/>
    <w:rsid w:val="00512F81"/>
    <w:rsid w:val="00513D67"/>
    <w:rsid w:val="00515C5B"/>
    <w:rsid w:val="00515DBF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08A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3C29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02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5758"/>
    <w:rsid w:val="00605A7E"/>
    <w:rsid w:val="00606850"/>
    <w:rsid w:val="00607B1F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096"/>
    <w:rsid w:val="0061618A"/>
    <w:rsid w:val="00616D5B"/>
    <w:rsid w:val="006172C4"/>
    <w:rsid w:val="006206DB"/>
    <w:rsid w:val="00620FA1"/>
    <w:rsid w:val="006225E8"/>
    <w:rsid w:val="00622AEB"/>
    <w:rsid w:val="00623E47"/>
    <w:rsid w:val="0062435C"/>
    <w:rsid w:val="006245ED"/>
    <w:rsid w:val="00624C95"/>
    <w:rsid w:val="00624CDB"/>
    <w:rsid w:val="00625949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3D4E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CD1"/>
    <w:rsid w:val="00682CCD"/>
    <w:rsid w:val="00683FA1"/>
    <w:rsid w:val="006841BB"/>
    <w:rsid w:val="0068492B"/>
    <w:rsid w:val="00684974"/>
    <w:rsid w:val="00684BB4"/>
    <w:rsid w:val="00686E8C"/>
    <w:rsid w:val="006879BE"/>
    <w:rsid w:val="0069185D"/>
    <w:rsid w:val="006922AB"/>
    <w:rsid w:val="006932B5"/>
    <w:rsid w:val="00693916"/>
    <w:rsid w:val="00694A52"/>
    <w:rsid w:val="0069507A"/>
    <w:rsid w:val="00695707"/>
    <w:rsid w:val="006962D6"/>
    <w:rsid w:val="0069734D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47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2FC7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27EA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2C7E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2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0C53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47D8C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422F"/>
    <w:rsid w:val="00875CA1"/>
    <w:rsid w:val="00876374"/>
    <w:rsid w:val="008804DB"/>
    <w:rsid w:val="0088226A"/>
    <w:rsid w:val="0088237B"/>
    <w:rsid w:val="008866E9"/>
    <w:rsid w:val="00886D94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7A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1A8C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6740A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276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3986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9F7825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1725D"/>
    <w:rsid w:val="00A20FC7"/>
    <w:rsid w:val="00A21D75"/>
    <w:rsid w:val="00A21E8F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52CB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3CD7"/>
    <w:rsid w:val="00AB44AD"/>
    <w:rsid w:val="00AB45D6"/>
    <w:rsid w:val="00AB4F17"/>
    <w:rsid w:val="00AB52E1"/>
    <w:rsid w:val="00AB5A71"/>
    <w:rsid w:val="00AB5E87"/>
    <w:rsid w:val="00AB5F0E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256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B5F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05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370D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3E66"/>
    <w:rsid w:val="00CD585C"/>
    <w:rsid w:val="00CD663F"/>
    <w:rsid w:val="00CD73CC"/>
    <w:rsid w:val="00CD789A"/>
    <w:rsid w:val="00CE0795"/>
    <w:rsid w:val="00CE1AA8"/>
    <w:rsid w:val="00CE23D2"/>
    <w:rsid w:val="00CE402E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29D5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4E7B"/>
    <w:rsid w:val="00D66429"/>
    <w:rsid w:val="00D6727A"/>
    <w:rsid w:val="00D67335"/>
    <w:rsid w:val="00D67726"/>
    <w:rsid w:val="00D704CE"/>
    <w:rsid w:val="00D709C1"/>
    <w:rsid w:val="00D70DA9"/>
    <w:rsid w:val="00D7107A"/>
    <w:rsid w:val="00D719A6"/>
    <w:rsid w:val="00D7388E"/>
    <w:rsid w:val="00D7437F"/>
    <w:rsid w:val="00D74E4A"/>
    <w:rsid w:val="00D8494D"/>
    <w:rsid w:val="00D84B5A"/>
    <w:rsid w:val="00D93082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3B8A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685"/>
    <w:rsid w:val="00E56D62"/>
    <w:rsid w:val="00E5781D"/>
    <w:rsid w:val="00E5790A"/>
    <w:rsid w:val="00E579AF"/>
    <w:rsid w:val="00E57E82"/>
    <w:rsid w:val="00E63584"/>
    <w:rsid w:val="00E63744"/>
    <w:rsid w:val="00E65839"/>
    <w:rsid w:val="00E658B7"/>
    <w:rsid w:val="00E66F16"/>
    <w:rsid w:val="00E670EE"/>
    <w:rsid w:val="00E7004D"/>
    <w:rsid w:val="00E71ABE"/>
    <w:rsid w:val="00E72246"/>
    <w:rsid w:val="00E727D0"/>
    <w:rsid w:val="00E7318E"/>
    <w:rsid w:val="00E73AA7"/>
    <w:rsid w:val="00E749E3"/>
    <w:rsid w:val="00E74A9D"/>
    <w:rsid w:val="00E75110"/>
    <w:rsid w:val="00E7581F"/>
    <w:rsid w:val="00E8264E"/>
    <w:rsid w:val="00E82BEC"/>
    <w:rsid w:val="00E83D6A"/>
    <w:rsid w:val="00E84C4E"/>
    <w:rsid w:val="00E84C73"/>
    <w:rsid w:val="00E8628B"/>
    <w:rsid w:val="00E86763"/>
    <w:rsid w:val="00E86C55"/>
    <w:rsid w:val="00E90BEC"/>
    <w:rsid w:val="00E90F5E"/>
    <w:rsid w:val="00E91DC4"/>
    <w:rsid w:val="00E92C52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421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42D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CC3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A1D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87D67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7300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2998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CC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87D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7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7D6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7D6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D6D62EE-DC34-4D16-B4B0-93B71B3F361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f1168d-fefe-4af1-8f81-938cd654b11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3AD6E6C-A013-4337-BD2E-741D343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16</cp:revision>
  <cp:lastPrinted>2017-01-12T20:54:00Z</cp:lastPrinted>
  <dcterms:created xsi:type="dcterms:W3CDTF">2017-01-07T17:22:00Z</dcterms:created>
  <dcterms:modified xsi:type="dcterms:W3CDTF">2017-03-01T05:38:00Z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