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496C41" w:rsidRDefault="00AA6A02" w:rsidP="00607CC8">
      <w:pPr>
        <w:pStyle w:val="Subtitle"/>
        <w:rPr>
          <w:rFonts w:cs="Arial"/>
          <w:caps/>
          <w:sz w:val="28"/>
          <w:szCs w:val="22"/>
          <w:lang w:val="es-ES_tradnl"/>
        </w:rPr>
      </w:pPr>
      <w:bookmarkStart w:id="0" w:name="_GoBack"/>
      <w:bookmarkEnd w:id="0"/>
      <w:r w:rsidRPr="00496C41">
        <w:rPr>
          <w:rFonts w:cs="Arial"/>
          <w:caps/>
          <w:sz w:val="28"/>
          <w:szCs w:val="22"/>
          <w:lang w:val="es-ES_tradnl"/>
        </w:rPr>
        <w:t>CERTIFICACIÓN DEL CONFINAMIENTO DEL GAPIII</w:t>
      </w:r>
      <w:r w:rsidR="00607CC8" w:rsidRPr="00496C41">
        <w:rPr>
          <w:rFonts w:cs="Arial"/>
          <w:caps/>
          <w:sz w:val="28"/>
          <w:szCs w:val="22"/>
          <w:lang w:val="es-ES_tradnl"/>
        </w:rPr>
        <w:t xml:space="preserve"> </w:t>
      </w:r>
    </w:p>
    <w:p w:rsidR="002C7959" w:rsidRPr="00496C41" w:rsidRDefault="00AA6A02" w:rsidP="005B7218">
      <w:pPr>
        <w:pStyle w:val="Subtitle"/>
        <w:rPr>
          <w:rFonts w:cs="Arial"/>
          <w:caps/>
          <w:sz w:val="28"/>
          <w:szCs w:val="22"/>
          <w:lang w:val="es-ES_tradnl"/>
        </w:rPr>
      </w:pPr>
      <w:r w:rsidRPr="00496C41">
        <w:rPr>
          <w:rFonts w:cs="Arial"/>
          <w:caps/>
          <w:sz w:val="28"/>
          <w:szCs w:val="22"/>
          <w:lang w:val="es-ES_tradnl"/>
        </w:rPr>
        <w:t>Plantilla del informe de la auditoría</w:t>
      </w:r>
    </w:p>
    <w:p w:rsidR="007D7A8E" w:rsidRPr="00496C41" w:rsidRDefault="007D7A8E" w:rsidP="006F0A85">
      <w:pPr>
        <w:pStyle w:val="Subtitle"/>
        <w:rPr>
          <w:rFonts w:cs="Arial"/>
          <w:caps/>
          <w:szCs w:val="22"/>
          <w:lang w:val="es-ES_tradnl"/>
        </w:rPr>
      </w:pPr>
    </w:p>
    <w:p w:rsidR="00CD3C6E" w:rsidRPr="00496C41" w:rsidRDefault="00AA6A02" w:rsidP="00CD3C6E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496C41">
        <w:rPr>
          <w:rFonts w:cs="Arial"/>
          <w:sz w:val="20"/>
          <w:szCs w:val="21"/>
          <w:lang w:val="es-ES_tradnl"/>
        </w:rPr>
        <w:t xml:space="preserve">Informe de </w:t>
      </w:r>
      <w:r w:rsidR="00C800AA" w:rsidRPr="00496C41">
        <w:rPr>
          <w:rFonts w:cs="Arial"/>
          <w:sz w:val="20"/>
          <w:szCs w:val="21"/>
          <w:lang w:val="es-ES_tradnl"/>
        </w:rPr>
        <w:t>la</w:t>
      </w:r>
      <w:r w:rsidRPr="00496C41">
        <w:rPr>
          <w:rFonts w:cs="Arial"/>
          <w:sz w:val="20"/>
          <w:szCs w:val="21"/>
          <w:lang w:val="es-ES_tradnl"/>
        </w:rPr>
        <w:t>:</w:t>
      </w:r>
    </w:p>
    <w:p w:rsidR="00CD3C6E" w:rsidRPr="00496C41" w:rsidRDefault="00CD3C6E" w:rsidP="006F0A85">
      <w:pPr>
        <w:pStyle w:val="Subtitle"/>
        <w:rPr>
          <w:rFonts w:cs="Arial"/>
          <w:caps/>
          <w:szCs w:val="22"/>
          <w:lang w:val="es-ES_tradnl"/>
        </w:rPr>
      </w:pPr>
    </w:p>
    <w:tbl>
      <w:tblPr>
        <w:tblW w:w="9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2154"/>
        <w:gridCol w:w="340"/>
        <w:gridCol w:w="2154"/>
        <w:gridCol w:w="340"/>
        <w:gridCol w:w="2154"/>
        <w:gridCol w:w="340"/>
        <w:gridCol w:w="2154"/>
      </w:tblGrid>
      <w:tr w:rsidR="004E350B" w:rsidRPr="00496C41" w:rsidTr="00D02451">
        <w:tc>
          <w:tcPr>
            <w:tcW w:w="340" w:type="dxa"/>
            <w:shd w:val="clear" w:color="auto" w:fill="auto"/>
          </w:tcPr>
          <w:p w:rsidR="00CD3C6E" w:rsidRPr="00496C41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:rsidR="00CD3C6E" w:rsidRPr="00496C41" w:rsidRDefault="00AA6A02" w:rsidP="000A23FF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Evaluación de deficiencias</w:t>
            </w:r>
          </w:p>
        </w:tc>
        <w:tc>
          <w:tcPr>
            <w:tcW w:w="340" w:type="dxa"/>
            <w:shd w:val="clear" w:color="auto" w:fill="auto"/>
          </w:tcPr>
          <w:p w:rsidR="00CD3C6E" w:rsidRPr="00496C41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:rsidR="00CD3C6E" w:rsidRPr="00496C41" w:rsidRDefault="00AA6A02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Auditoría inicial</w:t>
            </w:r>
            <w:r w:rsidR="00CD3C6E"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 xml:space="preserve"> </w:t>
            </w:r>
          </w:p>
        </w:tc>
        <w:tc>
          <w:tcPr>
            <w:tcW w:w="340" w:type="dxa"/>
            <w:shd w:val="clear" w:color="auto" w:fill="auto"/>
          </w:tcPr>
          <w:p w:rsidR="00CD3C6E" w:rsidRPr="00496C41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154" w:type="dxa"/>
          </w:tcPr>
          <w:p w:rsidR="00CD3C6E" w:rsidRPr="00496C41" w:rsidRDefault="00AA6A02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Auditoría periódica</w:t>
            </w:r>
          </w:p>
        </w:tc>
        <w:tc>
          <w:tcPr>
            <w:tcW w:w="340" w:type="dxa"/>
          </w:tcPr>
          <w:p w:rsidR="00CD3C6E" w:rsidRPr="00496C41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154" w:type="dxa"/>
          </w:tcPr>
          <w:p w:rsidR="00CD3C6E" w:rsidRPr="00496C41" w:rsidRDefault="00AA6A02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Auditoría de renovación de la certificación</w:t>
            </w:r>
          </w:p>
        </w:tc>
      </w:tr>
    </w:tbl>
    <w:p w:rsidR="000A23FF" w:rsidRPr="00496C41" w:rsidRDefault="000A23FF" w:rsidP="000A23FF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0A23FF" w:rsidRPr="00496C41" w:rsidRDefault="00AA6A02" w:rsidP="000A23FF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496C41">
        <w:rPr>
          <w:rFonts w:cs="Arial"/>
          <w:sz w:val="20"/>
          <w:szCs w:val="21"/>
          <w:lang w:val="es-ES_tradnl"/>
        </w:rPr>
        <w:t>Organización:</w:t>
      </w:r>
    </w:p>
    <w:p w:rsidR="000A23FF" w:rsidRPr="00496C41" w:rsidRDefault="000A23FF" w:rsidP="000A23FF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0A23FF" w:rsidRPr="00496C41" w:rsidRDefault="000A23FF" w:rsidP="000A23FF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0A23FF" w:rsidRPr="00496C41" w:rsidRDefault="00AA6A02" w:rsidP="000A23FF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496C41">
        <w:rPr>
          <w:rFonts w:cs="Arial"/>
          <w:sz w:val="20"/>
          <w:szCs w:val="21"/>
          <w:lang w:val="es-ES_tradnl"/>
        </w:rPr>
        <w:t>Fecha de inicio de la auditoría:</w:t>
      </w:r>
    </w:p>
    <w:p w:rsidR="000A23FF" w:rsidRPr="00496C41" w:rsidRDefault="000A23FF" w:rsidP="000A23FF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0A23FF" w:rsidRPr="00496C41" w:rsidRDefault="000A23FF" w:rsidP="000A23FF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0A23FF" w:rsidRPr="00496C41" w:rsidRDefault="00AA6A02" w:rsidP="00854441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496C41">
        <w:rPr>
          <w:rFonts w:cs="Arial"/>
          <w:sz w:val="20"/>
          <w:szCs w:val="21"/>
          <w:lang w:val="es-ES_tradnl"/>
        </w:rPr>
        <w:t>Fecha del fin de la auditoría</w:t>
      </w:r>
      <w:r w:rsidR="00854441">
        <w:rPr>
          <w:rFonts w:cs="Arial"/>
          <w:sz w:val="20"/>
          <w:szCs w:val="21"/>
          <w:lang w:val="es-ES_tradnl"/>
        </w:rPr>
        <w:t>:</w:t>
      </w:r>
    </w:p>
    <w:p w:rsidR="000A23FF" w:rsidRPr="00496C41" w:rsidRDefault="000A23FF" w:rsidP="000A23FF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0A23FF" w:rsidRPr="00496C41" w:rsidRDefault="000A23FF" w:rsidP="001E7AF3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B22781" w:rsidRPr="00496C41" w:rsidRDefault="00AA6A02" w:rsidP="001E7AF3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496C41">
        <w:rPr>
          <w:rFonts w:cs="Arial"/>
          <w:sz w:val="20"/>
          <w:szCs w:val="21"/>
          <w:lang w:val="es-ES_tradnl"/>
        </w:rPr>
        <w:t>Información sobre el lugar:</w:t>
      </w:r>
    </w:p>
    <w:p w:rsidR="00B22781" w:rsidRPr="00496C41" w:rsidRDefault="00B22781" w:rsidP="001E7AF3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450"/>
        <w:gridCol w:w="1080"/>
        <w:gridCol w:w="540"/>
        <w:gridCol w:w="3150"/>
        <w:gridCol w:w="630"/>
      </w:tblGrid>
      <w:tr w:rsidR="004E350B" w:rsidRPr="00496C41" w:rsidTr="00CD3B8C">
        <w:trPr>
          <w:trHeight w:val="4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96C41" w:rsidRDefault="004F4100" w:rsidP="00B22781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96C41" w:rsidRDefault="00AA6A02" w:rsidP="00B22781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Lugar único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96C41" w:rsidRDefault="004F4100" w:rsidP="00B22781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96C41" w:rsidRDefault="00AA6A02" w:rsidP="00B22781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Varios lugares</w:t>
            </w:r>
            <w:r w:rsidR="004F4100"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00" w:rsidRPr="00496C41" w:rsidRDefault="00AA6A02" w:rsidP="00B22781">
            <w:pPr>
              <w:spacing w:before="60" w:after="60"/>
              <w:rPr>
                <w:rFonts w:cs="Arial"/>
                <w:sz w:val="18"/>
                <w:szCs w:val="18"/>
                <w:lang w:val="es-ES_tradnl"/>
              </w:rPr>
            </w:pP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 xml:space="preserve">En este caso, indicar el número de </w:t>
            </w:r>
            <w:r w:rsidR="002D0447" w:rsidRPr="00496C41">
              <w:rPr>
                <w:rFonts w:cs="Arial"/>
                <w:bCs/>
                <w:sz w:val="20"/>
                <w:szCs w:val="18"/>
                <w:lang w:val="es-ES_tradnl"/>
              </w:rPr>
              <w:t>lugares</w:t>
            </w: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 xml:space="preserve"> (sin contar la sede):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00" w:rsidRPr="00496C41" w:rsidRDefault="004F4100" w:rsidP="00B22781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4E350B" w:rsidRPr="00496C41" w:rsidTr="00AA6A02">
        <w:trPr>
          <w:trHeight w:val="458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96C41" w:rsidRDefault="00AA6A02" w:rsidP="000606A0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t>¿La certificación está basada en</w:t>
            </w:r>
            <w:r w:rsidR="00C800AA"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t xml:space="preserve"> el</w:t>
            </w:r>
            <w:r w:rsidR="000606A0">
              <w:rPr>
                <w:rFonts w:eastAsia="Times New Roman" w:cs="Arial"/>
                <w:sz w:val="18"/>
                <w:szCs w:val="18"/>
                <w:lang w:val="es-ES_tradnl" w:eastAsia="en-US"/>
              </w:rPr>
              <w:br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t xml:space="preserve">muestreo de los </w:t>
            </w:r>
            <w:r w:rsidR="002D0447"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t>lugares</w:t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t>?: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96C41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96C41" w:rsidRDefault="00AA6A02" w:rsidP="00F41473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Sí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473" w:rsidRPr="00496C41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473" w:rsidRPr="00496C41" w:rsidRDefault="00AA6A02" w:rsidP="00F41473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No</w:t>
            </w:r>
          </w:p>
        </w:tc>
      </w:tr>
      <w:tr w:rsidR="004E350B" w:rsidRPr="00496C41" w:rsidTr="00AA6A02">
        <w:trPr>
          <w:trHeight w:val="458"/>
        </w:trPr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473" w:rsidRPr="00496C41" w:rsidRDefault="00AA6A02" w:rsidP="002E5657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 xml:space="preserve">Si la certificación está basada en el muestreo de los </w:t>
            </w:r>
            <w:r w:rsidR="002D0447"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lugares</w:t>
            </w:r>
            <w:r w:rsidRPr="002E5657">
              <w:rPr>
                <w:rFonts w:cs="Arial"/>
                <w:b/>
                <w:bCs/>
                <w:sz w:val="20"/>
                <w:szCs w:val="18"/>
                <w:lang w:val="es-ES_tradnl"/>
              </w:rPr>
              <w:t>, el auditor principa</w:t>
            </w:r>
            <w:r w:rsidR="002D0447" w:rsidRPr="002E5657">
              <w:rPr>
                <w:rFonts w:cs="Arial"/>
                <w:b/>
                <w:bCs/>
                <w:sz w:val="20"/>
                <w:szCs w:val="18"/>
                <w:lang w:val="es-ES_tradnl"/>
              </w:rPr>
              <w:t>l</w:t>
            </w:r>
            <w:r w:rsidR="00C800AA" w:rsidRPr="002E5657">
              <w:rPr>
                <w:rFonts w:cs="Arial"/>
                <w:b/>
                <w:bCs/>
                <w:sz w:val="20"/>
                <w:szCs w:val="18"/>
                <w:lang w:val="es-ES_tradnl"/>
              </w:rPr>
              <w:t xml:space="preserve"> </w:t>
            </w:r>
            <w:r w:rsidRPr="002E5657">
              <w:rPr>
                <w:rFonts w:cs="Arial"/>
                <w:b/>
                <w:bCs/>
                <w:sz w:val="20"/>
                <w:szCs w:val="18"/>
                <w:lang w:val="es-ES_tradnl"/>
              </w:rPr>
              <w:t>tiene</w:t>
            </w: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 xml:space="preserve"> que confirmar lo siguiente:</w:t>
            </w:r>
            <w:r w:rsidR="00C800AA"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 xml:space="preserve"> </w:t>
            </w:r>
          </w:p>
        </w:tc>
      </w:tr>
      <w:tr w:rsidR="004E350B" w:rsidRPr="00496C41" w:rsidTr="00AA6A02">
        <w:trPr>
          <w:trHeight w:val="458"/>
        </w:trPr>
        <w:tc>
          <w:tcPr>
            <w:tcW w:w="9900" w:type="dxa"/>
            <w:gridSpan w:val="7"/>
            <w:shd w:val="clear" w:color="auto" w:fill="auto"/>
            <w:vAlign w:val="center"/>
          </w:tcPr>
          <w:p w:rsidR="00BB0549" w:rsidRPr="00496C41" w:rsidRDefault="00AA6A02" w:rsidP="000A23FF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>La organización cumple los criterios siguientes:</w:t>
            </w:r>
          </w:p>
        </w:tc>
      </w:tr>
      <w:tr w:rsidR="004E350B" w:rsidRPr="00496C41" w:rsidTr="00AA6A0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96C41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9450" w:type="dxa"/>
            <w:gridSpan w:val="6"/>
            <w:shd w:val="clear" w:color="auto" w:fill="auto"/>
            <w:vAlign w:val="center"/>
          </w:tcPr>
          <w:p w:rsidR="00BB0549" w:rsidRPr="00496C41" w:rsidRDefault="00AA6A02" w:rsidP="000A23FF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 xml:space="preserve">Sistema de gestión común y controlado </w:t>
            </w:r>
            <w:r w:rsidR="00496C41" w:rsidRPr="00496C41">
              <w:rPr>
                <w:rFonts w:cs="Arial"/>
                <w:bCs/>
                <w:sz w:val="20"/>
                <w:szCs w:val="18"/>
                <w:lang w:val="es-ES_tradnl"/>
              </w:rPr>
              <w:t xml:space="preserve">a nivel </w:t>
            </w: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>central</w:t>
            </w:r>
          </w:p>
        </w:tc>
      </w:tr>
      <w:tr w:rsidR="004E350B" w:rsidRPr="00496C41" w:rsidTr="00AA6A0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96C41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9450" w:type="dxa"/>
            <w:gridSpan w:val="6"/>
            <w:shd w:val="clear" w:color="auto" w:fill="auto"/>
            <w:vAlign w:val="center"/>
          </w:tcPr>
          <w:p w:rsidR="00BB0549" w:rsidRPr="00496C41" w:rsidRDefault="00AA6A02" w:rsidP="00461A01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>Auditorías internas y e</w:t>
            </w:r>
            <w:r w:rsidR="002D0447" w:rsidRPr="00496C41">
              <w:rPr>
                <w:rFonts w:cs="Arial"/>
                <w:bCs/>
                <w:sz w:val="20"/>
                <w:szCs w:val="18"/>
                <w:lang w:val="es-ES_tradnl"/>
              </w:rPr>
              <w:t>xámenes de la gestión controlado</w:t>
            </w: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 xml:space="preserve">s </w:t>
            </w:r>
            <w:r w:rsidR="00496C41" w:rsidRPr="00496C41">
              <w:rPr>
                <w:rFonts w:cs="Arial"/>
                <w:bCs/>
                <w:sz w:val="20"/>
                <w:szCs w:val="18"/>
                <w:lang w:val="es-ES_tradnl"/>
              </w:rPr>
              <w:t>a nivel central</w:t>
            </w:r>
          </w:p>
        </w:tc>
      </w:tr>
      <w:tr w:rsidR="004E350B" w:rsidRPr="00496C41" w:rsidTr="00AA6A0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96C41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9450" w:type="dxa"/>
            <w:gridSpan w:val="6"/>
            <w:shd w:val="clear" w:color="auto" w:fill="auto"/>
            <w:vAlign w:val="center"/>
          </w:tcPr>
          <w:p w:rsidR="00BB0549" w:rsidRPr="00496C41" w:rsidRDefault="00AA6A02" w:rsidP="000A23FF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>Las actividades de los distintos lugares son semejantes</w:t>
            </w:r>
          </w:p>
        </w:tc>
      </w:tr>
      <w:tr w:rsidR="004E350B" w:rsidRPr="00496C41" w:rsidTr="00496C41">
        <w:trPr>
          <w:trHeight w:hRule="exact" w:val="1104"/>
        </w:trPr>
        <w:tc>
          <w:tcPr>
            <w:tcW w:w="450" w:type="dxa"/>
            <w:shd w:val="clear" w:color="auto" w:fill="auto"/>
            <w:vAlign w:val="center"/>
          </w:tcPr>
          <w:p w:rsidR="00F41473" w:rsidRPr="00496C41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9450" w:type="dxa"/>
            <w:gridSpan w:val="6"/>
            <w:shd w:val="clear" w:color="auto" w:fill="auto"/>
            <w:vAlign w:val="center"/>
          </w:tcPr>
          <w:p w:rsidR="00F41473" w:rsidRPr="00496C41" w:rsidRDefault="0004135A" w:rsidP="007251AC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 xml:space="preserve">Los elementos fundamentales del GAPIII son manejados eficazmente por una oficina </w:t>
            </w:r>
            <w:r w:rsidR="00496C41" w:rsidRPr="00496C41">
              <w:rPr>
                <w:rFonts w:cs="Arial"/>
                <w:bCs/>
                <w:sz w:val="20"/>
                <w:szCs w:val="18"/>
                <w:lang w:val="es-ES_tradnl"/>
              </w:rPr>
              <w:t>central (</w:t>
            </w: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>p</w:t>
            </w:r>
            <w:r w:rsidR="007251AC">
              <w:rPr>
                <w:rFonts w:cs="Arial"/>
                <w:bCs/>
                <w:sz w:val="20"/>
                <w:szCs w:val="18"/>
                <w:lang w:val="es-ES_tradnl"/>
              </w:rPr>
              <w:t>. </w:t>
            </w: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>ej</w:t>
            </w:r>
            <w:r w:rsidR="007251AC">
              <w:rPr>
                <w:rFonts w:cs="Arial"/>
                <w:bCs/>
                <w:sz w:val="20"/>
                <w:szCs w:val="18"/>
                <w:lang w:val="es-ES_tradnl"/>
              </w:rPr>
              <w:t>., </w:t>
            </w: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>cambios de los sistemas de gestión, examen de la gestión, auditorías internas, reclamaciones, requisitos legales, evaluación de las medidas correctivas y cambios en aspectos del sistema de gestión de los riesgos biológicos)</w:t>
            </w:r>
          </w:p>
        </w:tc>
      </w:tr>
      <w:tr w:rsidR="004E350B" w:rsidRPr="00496C41" w:rsidTr="0004135A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BB0549" w:rsidRPr="00496C41" w:rsidRDefault="00BB0549" w:rsidP="00BB0549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9450" w:type="dxa"/>
            <w:gridSpan w:val="6"/>
            <w:shd w:val="clear" w:color="auto" w:fill="auto"/>
            <w:vAlign w:val="center"/>
          </w:tcPr>
          <w:p w:rsidR="00BB0549" w:rsidRPr="00496C41" w:rsidRDefault="0004135A" w:rsidP="000A23FF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>Se han efectuado auditorías internas completas que han resultado eficaces (incluidas las consideraciones de los reglamentos pertinentes)</w:t>
            </w:r>
          </w:p>
        </w:tc>
      </w:tr>
      <w:tr w:rsidR="00BB0549" w:rsidRPr="00496C41" w:rsidTr="000606A0">
        <w:trPr>
          <w:trHeight w:val="3112"/>
        </w:trPr>
        <w:tc>
          <w:tcPr>
            <w:tcW w:w="9900" w:type="dxa"/>
            <w:gridSpan w:val="7"/>
            <w:shd w:val="clear" w:color="auto" w:fill="auto"/>
            <w:vAlign w:val="center"/>
          </w:tcPr>
          <w:p w:rsidR="00BB0549" w:rsidRPr="00496C41" w:rsidRDefault="0004135A" w:rsidP="000606A0">
            <w:pPr>
              <w:snapToGrid w:val="0"/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Cs/>
                <w:sz w:val="20"/>
                <w:szCs w:val="18"/>
                <w:lang w:val="es-ES_tradnl"/>
              </w:rPr>
              <w:t>Otras observaciones:</w:t>
            </w:r>
          </w:p>
          <w:p w:rsidR="000A23FF" w:rsidRPr="00496C41" w:rsidRDefault="000A23FF" w:rsidP="00BB0549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</w:p>
          <w:p w:rsidR="00F21086" w:rsidRPr="00496C41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</w:p>
          <w:p w:rsidR="00F21086" w:rsidRPr="00496C41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</w:p>
          <w:p w:rsidR="00F21086" w:rsidRPr="00496C41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</w:p>
          <w:p w:rsidR="00F21086" w:rsidRPr="00496C41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</w:p>
          <w:p w:rsidR="00E60AC3" w:rsidRPr="00496C41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</w:p>
          <w:p w:rsidR="00F21086" w:rsidRPr="00496C41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</w:p>
          <w:p w:rsidR="00F21086" w:rsidRPr="00496C41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</w:p>
          <w:p w:rsidR="002D2417" w:rsidRPr="00496C41" w:rsidRDefault="002D2417" w:rsidP="00BB0549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</w:p>
          <w:p w:rsidR="00BB0549" w:rsidRPr="00496C41" w:rsidRDefault="00BB0549" w:rsidP="00BB0549">
            <w:pPr>
              <w:spacing w:before="60" w:after="60"/>
              <w:rPr>
                <w:rFonts w:cs="Arial"/>
                <w:bCs/>
                <w:sz w:val="20"/>
                <w:szCs w:val="18"/>
                <w:lang w:val="es-ES_tradnl"/>
              </w:rPr>
            </w:pPr>
          </w:p>
        </w:tc>
      </w:tr>
    </w:tbl>
    <w:p w:rsidR="00BB0549" w:rsidRPr="00496C41" w:rsidRDefault="0004135A" w:rsidP="001E7AF3">
      <w:pPr>
        <w:pStyle w:val="Subtitle"/>
        <w:jc w:val="left"/>
        <w:rPr>
          <w:rFonts w:cs="Arial"/>
          <w:szCs w:val="22"/>
          <w:lang w:val="es-ES_tradnl"/>
        </w:rPr>
      </w:pPr>
      <w:r w:rsidRPr="00496C41">
        <w:rPr>
          <w:rFonts w:cs="Arial"/>
          <w:szCs w:val="22"/>
          <w:lang w:val="es-ES_tradnl"/>
        </w:rPr>
        <w:lastRenderedPageBreak/>
        <w:t>La auditoría abarcará los siguientes lugares:</w:t>
      </w:r>
    </w:p>
    <w:p w:rsidR="00BB0549" w:rsidRPr="00496C41" w:rsidRDefault="00BB0549" w:rsidP="001E7AF3">
      <w:pPr>
        <w:pStyle w:val="Subtitle"/>
        <w:jc w:val="left"/>
        <w:rPr>
          <w:rFonts w:cs="Arial"/>
          <w:szCs w:val="22"/>
          <w:lang w:val="es-ES_tradn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4536"/>
      </w:tblGrid>
      <w:tr w:rsidR="004E350B" w:rsidRPr="00496C41" w:rsidTr="000606A0">
        <w:trPr>
          <w:trHeight w:val="611"/>
        </w:trPr>
        <w:tc>
          <w:tcPr>
            <w:tcW w:w="2127" w:type="dxa"/>
            <w:shd w:val="clear" w:color="auto" w:fill="auto"/>
            <w:vAlign w:val="center"/>
          </w:tcPr>
          <w:p w:rsidR="002D2417" w:rsidRPr="00496C41" w:rsidRDefault="0004135A" w:rsidP="00607192">
            <w:pPr>
              <w:pStyle w:val="Subtitle"/>
              <w:jc w:val="left"/>
              <w:rPr>
                <w:rFonts w:cs="Arial"/>
                <w:szCs w:val="22"/>
                <w:lang w:val="es-ES_tradnl"/>
              </w:rPr>
            </w:pPr>
            <w:r w:rsidRPr="00496C41">
              <w:rPr>
                <w:rFonts w:cs="Arial"/>
                <w:szCs w:val="22"/>
                <w:lang w:val="es-ES_tradnl"/>
              </w:rPr>
              <w:t>Nombre del lugar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D2417" w:rsidRPr="00496C41" w:rsidRDefault="0004135A" w:rsidP="002D2417">
            <w:pPr>
              <w:pStyle w:val="Subtitle"/>
              <w:rPr>
                <w:rFonts w:cs="Arial"/>
                <w:szCs w:val="22"/>
                <w:lang w:val="es-ES_tradnl"/>
              </w:rPr>
            </w:pPr>
            <w:r w:rsidRPr="00496C41">
              <w:rPr>
                <w:rFonts w:cs="Arial"/>
                <w:szCs w:val="22"/>
                <w:lang w:val="es-ES_tradnl"/>
              </w:rPr>
              <w:t>Dirección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96C41" w:rsidRDefault="0004135A" w:rsidP="002D2417">
            <w:pPr>
              <w:pStyle w:val="Subtitle"/>
              <w:rPr>
                <w:rFonts w:cs="Arial"/>
                <w:szCs w:val="22"/>
                <w:lang w:val="es-ES_tradnl"/>
              </w:rPr>
            </w:pPr>
            <w:r w:rsidRPr="00496C41">
              <w:rPr>
                <w:rFonts w:cs="Arial"/>
                <w:szCs w:val="22"/>
                <w:lang w:val="es-ES_tradnl"/>
              </w:rPr>
              <w:t xml:space="preserve">Alcance </w:t>
            </w:r>
            <w:r w:rsidR="00496C41" w:rsidRPr="00496C41">
              <w:rPr>
                <w:rFonts w:cs="Arial"/>
                <w:szCs w:val="22"/>
                <w:lang w:val="es-ES_tradnl"/>
              </w:rPr>
              <w:t>en ese</w:t>
            </w:r>
            <w:r w:rsidRPr="00496C41">
              <w:rPr>
                <w:rFonts w:cs="Arial"/>
                <w:szCs w:val="22"/>
                <w:lang w:val="es-ES_tradnl"/>
              </w:rPr>
              <w:t xml:space="preserve"> lugar</w:t>
            </w:r>
          </w:p>
        </w:tc>
      </w:tr>
      <w:tr w:rsidR="004E350B" w:rsidRPr="00496C41" w:rsidTr="000606A0">
        <w:trPr>
          <w:trHeight w:val="704"/>
        </w:trPr>
        <w:tc>
          <w:tcPr>
            <w:tcW w:w="2127" w:type="dxa"/>
            <w:shd w:val="clear" w:color="auto" w:fill="auto"/>
          </w:tcPr>
          <w:p w:rsidR="002D2417" w:rsidRPr="00496C41" w:rsidRDefault="0004135A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  <w:lang w:val="es-ES_tradnl"/>
              </w:rPr>
            </w:pPr>
            <w:r w:rsidRPr="00496C41">
              <w:rPr>
                <w:rFonts w:cs="Arial"/>
                <w:b w:val="0"/>
                <w:sz w:val="18"/>
                <w:szCs w:val="18"/>
                <w:lang w:val="es-ES_tradnl"/>
              </w:rPr>
              <w:t>Oficina central y lugar principal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D2417" w:rsidRPr="00496C41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  <w:lang w:val="es-ES_tradn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96C41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  <w:lang w:val="es-ES_tradnl"/>
              </w:rPr>
            </w:pPr>
          </w:p>
        </w:tc>
      </w:tr>
      <w:tr w:rsidR="004E350B" w:rsidRPr="00496C41" w:rsidTr="000606A0">
        <w:trPr>
          <w:trHeight w:val="557"/>
        </w:trPr>
        <w:tc>
          <w:tcPr>
            <w:tcW w:w="2127" w:type="dxa"/>
            <w:shd w:val="clear" w:color="auto" w:fill="auto"/>
          </w:tcPr>
          <w:p w:rsidR="002D2417" w:rsidRPr="00496C41" w:rsidRDefault="0004135A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  <w:lang w:val="es-ES_tradnl"/>
              </w:rPr>
            </w:pPr>
            <w:r w:rsidRPr="00496C41">
              <w:rPr>
                <w:rFonts w:cs="Arial"/>
                <w:b w:val="0"/>
                <w:sz w:val="18"/>
                <w:szCs w:val="18"/>
                <w:lang w:val="es-ES_tradnl"/>
              </w:rPr>
              <w:t>Nombre del lugar 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D2417" w:rsidRPr="00496C41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  <w:lang w:val="es-ES_tradn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96C41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  <w:lang w:val="es-ES_tradnl"/>
              </w:rPr>
            </w:pPr>
          </w:p>
        </w:tc>
      </w:tr>
      <w:tr w:rsidR="004E350B" w:rsidRPr="00496C41" w:rsidTr="000606A0">
        <w:trPr>
          <w:trHeight w:val="696"/>
        </w:trPr>
        <w:tc>
          <w:tcPr>
            <w:tcW w:w="2127" w:type="dxa"/>
            <w:shd w:val="clear" w:color="auto" w:fill="auto"/>
          </w:tcPr>
          <w:p w:rsidR="002D2417" w:rsidRPr="00496C41" w:rsidRDefault="0004135A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  <w:lang w:val="es-ES_tradnl"/>
              </w:rPr>
            </w:pPr>
            <w:r w:rsidRPr="00496C41">
              <w:rPr>
                <w:rFonts w:cs="Arial"/>
                <w:b w:val="0"/>
                <w:sz w:val="18"/>
                <w:szCs w:val="18"/>
                <w:lang w:val="es-ES_tradnl"/>
              </w:rPr>
              <w:t>Nombre del lugar 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D2417" w:rsidRPr="00496C41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  <w:lang w:val="es-ES_tradn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96C41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  <w:lang w:val="es-ES_tradnl"/>
              </w:rPr>
            </w:pPr>
          </w:p>
        </w:tc>
      </w:tr>
      <w:tr w:rsidR="002D2417" w:rsidRPr="00496C41" w:rsidTr="000606A0">
        <w:trPr>
          <w:trHeight w:val="564"/>
        </w:trPr>
        <w:tc>
          <w:tcPr>
            <w:tcW w:w="2127" w:type="dxa"/>
            <w:shd w:val="clear" w:color="auto" w:fill="auto"/>
          </w:tcPr>
          <w:p w:rsidR="002D2417" w:rsidRPr="00496C41" w:rsidRDefault="0004135A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  <w:lang w:val="es-ES_tradnl"/>
              </w:rPr>
            </w:pPr>
            <w:r w:rsidRPr="00496C41">
              <w:rPr>
                <w:rFonts w:cs="Arial"/>
                <w:b w:val="0"/>
                <w:sz w:val="18"/>
                <w:szCs w:val="18"/>
                <w:lang w:val="es-ES_tradnl"/>
              </w:rPr>
              <w:t>Nombre del lugar 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D2417" w:rsidRPr="00496C41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  <w:lang w:val="es-ES_tradn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96C41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  <w:lang w:val="es-ES_tradnl"/>
              </w:rPr>
            </w:pPr>
          </w:p>
        </w:tc>
      </w:tr>
    </w:tbl>
    <w:p w:rsidR="00F21086" w:rsidRPr="00496C41" w:rsidRDefault="00F21086" w:rsidP="00F21086">
      <w:pPr>
        <w:pStyle w:val="Subtitle"/>
        <w:jc w:val="left"/>
        <w:rPr>
          <w:rFonts w:cs="Arial"/>
          <w:szCs w:val="22"/>
          <w:lang w:val="es-ES_tradnl"/>
        </w:rPr>
      </w:pPr>
    </w:p>
    <w:p w:rsidR="007C21C0" w:rsidRPr="00496C41" w:rsidRDefault="0004135A" w:rsidP="00F21086">
      <w:pPr>
        <w:pStyle w:val="Subtitle"/>
        <w:jc w:val="left"/>
        <w:rPr>
          <w:rFonts w:cs="Arial"/>
          <w:szCs w:val="22"/>
          <w:lang w:val="es-ES_tradnl"/>
        </w:rPr>
      </w:pPr>
      <w:r w:rsidRPr="00496C41">
        <w:rPr>
          <w:rFonts w:cs="Arial"/>
          <w:szCs w:val="22"/>
          <w:lang w:val="es-ES_tradnl"/>
        </w:rPr>
        <w:t>Modificación del alcance (según corresponda):</w:t>
      </w:r>
    </w:p>
    <w:p w:rsidR="007C21C0" w:rsidRPr="00496C41" w:rsidRDefault="007C21C0" w:rsidP="00F21086">
      <w:pPr>
        <w:rPr>
          <w:sz w:val="24"/>
          <w:szCs w:val="24"/>
          <w:lang w:val="es-ES_tradnl"/>
        </w:rPr>
      </w:pPr>
    </w:p>
    <w:p w:rsidR="00BB0549" w:rsidRPr="00496C41" w:rsidRDefault="0004135A" w:rsidP="00F21086">
      <w:pPr>
        <w:pStyle w:val="Subtitle"/>
        <w:jc w:val="left"/>
        <w:rPr>
          <w:rFonts w:cs="Arial"/>
          <w:szCs w:val="22"/>
          <w:lang w:val="es-ES_tradnl"/>
        </w:rPr>
      </w:pPr>
      <w:r w:rsidRPr="00496C41">
        <w:rPr>
          <w:rFonts w:cs="Arial"/>
          <w:szCs w:val="22"/>
          <w:lang w:val="es-ES_tradnl"/>
        </w:rPr>
        <w:t xml:space="preserve">Composición del </w:t>
      </w:r>
      <w:r w:rsidRPr="00496C41">
        <w:rPr>
          <w:rFonts w:eastAsiaTheme="majorEastAsia" w:cs="Arial"/>
          <w:szCs w:val="22"/>
          <w:lang w:val="es-ES_tradnl" w:eastAsia="zh-CN"/>
        </w:rPr>
        <w:t>equipo de auditoría:</w:t>
      </w:r>
    </w:p>
    <w:p w:rsidR="003F0BC3" w:rsidRPr="00496C41" w:rsidRDefault="003F0BC3" w:rsidP="00F21086">
      <w:pPr>
        <w:pStyle w:val="Subtitle"/>
        <w:jc w:val="left"/>
        <w:rPr>
          <w:rFonts w:cs="Arial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4E350B" w:rsidRPr="00496C41" w:rsidTr="000606A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3F0BC3" w:rsidRPr="00496C41" w:rsidRDefault="0004135A" w:rsidP="003F0BC3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  <w:r w:rsidRPr="00496C41">
              <w:rPr>
                <w:rFonts w:cs="Arial"/>
                <w:sz w:val="20"/>
                <w:szCs w:val="21"/>
                <w:lang w:val="es-ES_tradnl"/>
              </w:rPr>
              <w:t>Función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0BC3" w:rsidRPr="00496C41" w:rsidRDefault="0004135A" w:rsidP="003F0BC3">
            <w:pPr>
              <w:pStyle w:val="Subtitle"/>
              <w:rPr>
                <w:rFonts w:cs="Arial"/>
                <w:sz w:val="20"/>
                <w:szCs w:val="21"/>
                <w:lang w:val="es-ES_tradnl"/>
              </w:rPr>
            </w:pPr>
            <w:r w:rsidRPr="00496C41">
              <w:rPr>
                <w:rFonts w:cs="Arial"/>
                <w:sz w:val="20"/>
                <w:szCs w:val="21"/>
                <w:lang w:val="es-ES_tradnl"/>
              </w:rPr>
              <w:t>Nombre</w:t>
            </w:r>
          </w:p>
        </w:tc>
      </w:tr>
      <w:tr w:rsidR="004E350B" w:rsidRPr="00496C41" w:rsidTr="000606A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3F0BC3" w:rsidRPr="00496C41" w:rsidRDefault="0004135A" w:rsidP="00607192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val="es-ES_tradnl" w:eastAsia="ja-JP"/>
              </w:rPr>
            </w:pPr>
            <w:r w:rsidRPr="00496C41">
              <w:rPr>
                <w:rFonts w:eastAsia="MS Mincho" w:cs="Arial"/>
                <w:sz w:val="20"/>
                <w:szCs w:val="18"/>
                <w:lang w:val="es-ES_tradnl" w:eastAsia="ja-JP"/>
              </w:rPr>
              <w:t>Jefe del equipo o auditor principal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0BC3" w:rsidRPr="00496C41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4E350B" w:rsidRPr="00496C41" w:rsidTr="000606A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3F0BC3" w:rsidRPr="00496C41" w:rsidRDefault="0004135A" w:rsidP="00607192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val="es-ES_tradnl" w:eastAsia="ja-JP"/>
              </w:rPr>
            </w:pPr>
            <w:r w:rsidRPr="00496C41">
              <w:rPr>
                <w:rFonts w:eastAsia="MS Mincho" w:cs="Arial"/>
                <w:sz w:val="20"/>
                <w:szCs w:val="18"/>
                <w:lang w:val="es-ES_tradnl" w:eastAsia="ja-JP"/>
              </w:rPr>
              <w:t>Auditor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0BC3" w:rsidRPr="00496C41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4E350B" w:rsidRPr="00496C41" w:rsidTr="000606A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3F0BC3" w:rsidRPr="00496C41" w:rsidRDefault="0004135A" w:rsidP="002C2C3D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val="es-ES_tradnl" w:eastAsia="ja-JP"/>
              </w:rPr>
            </w:pPr>
            <w:r w:rsidRPr="00496C41">
              <w:rPr>
                <w:rFonts w:eastAsia="MS Mincho" w:cs="Arial"/>
                <w:sz w:val="20"/>
                <w:szCs w:val="18"/>
                <w:lang w:val="es-ES_tradnl" w:eastAsia="ja-JP"/>
              </w:rPr>
              <w:t>Auditor</w:t>
            </w:r>
            <w:r w:rsidR="003F0BC3" w:rsidRPr="00496C41">
              <w:rPr>
                <w:rFonts w:eastAsia="MS Mincho" w:cs="Arial"/>
                <w:sz w:val="20"/>
                <w:szCs w:val="18"/>
                <w:lang w:val="es-ES_tradnl" w:eastAsia="ja-JP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0BC3" w:rsidRPr="00496C41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4E350B" w:rsidRPr="00496C41" w:rsidTr="000606A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3F0BC3" w:rsidRPr="00496C41" w:rsidRDefault="0004135A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val="es-ES_tradnl" w:eastAsia="ja-JP"/>
              </w:rPr>
            </w:pPr>
            <w:r w:rsidRPr="00496C41">
              <w:rPr>
                <w:rFonts w:eastAsia="MS Mincho" w:cs="Arial"/>
                <w:sz w:val="20"/>
                <w:szCs w:val="18"/>
                <w:lang w:val="es-ES_tradnl" w:eastAsia="ja-JP"/>
              </w:rPr>
              <w:t>Especialista en</w:t>
            </w:r>
            <w:r w:rsidR="00F21086" w:rsidRPr="00496C41">
              <w:rPr>
                <w:rFonts w:eastAsia="MS Mincho" w:cs="Arial"/>
                <w:sz w:val="20"/>
                <w:szCs w:val="18"/>
                <w:lang w:val="es-ES_tradnl" w:eastAsia="ja-JP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0BC3" w:rsidRPr="00496C41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4E350B" w:rsidRPr="00496C41" w:rsidTr="000606A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F21086" w:rsidRPr="00496C41" w:rsidRDefault="0004135A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val="es-ES_tradnl" w:eastAsia="ja-JP"/>
              </w:rPr>
            </w:pPr>
            <w:r w:rsidRPr="00496C41">
              <w:rPr>
                <w:rFonts w:eastAsia="MS Mincho" w:cs="Arial"/>
                <w:sz w:val="20"/>
                <w:szCs w:val="18"/>
                <w:lang w:val="es-ES_tradnl" w:eastAsia="ja-JP"/>
              </w:rPr>
              <w:t>Especialista en</w:t>
            </w:r>
            <w:r w:rsidR="00F21086" w:rsidRPr="00496C41">
              <w:rPr>
                <w:rFonts w:eastAsia="MS Mincho" w:cs="Arial"/>
                <w:sz w:val="20"/>
                <w:szCs w:val="18"/>
                <w:lang w:val="es-ES_tradnl" w:eastAsia="ja-JP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21086" w:rsidRPr="00496C41" w:rsidRDefault="00F21086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4E350B" w:rsidRPr="00496C41" w:rsidTr="000606A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4E350B" w:rsidRPr="00496C41" w:rsidDel="004E350B" w:rsidRDefault="0004135A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val="es-ES_tradnl" w:eastAsia="ja-JP"/>
              </w:rPr>
            </w:pPr>
            <w:r w:rsidRPr="00496C41">
              <w:rPr>
                <w:rFonts w:eastAsia="MS Mincho" w:cs="Arial"/>
                <w:sz w:val="20"/>
                <w:szCs w:val="18"/>
                <w:lang w:val="es-ES_tradnl" w:eastAsia="ja-JP"/>
              </w:rPr>
              <w:t>Traductor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E350B" w:rsidRPr="00496C41" w:rsidRDefault="004E350B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  <w:tr w:rsidR="004E350B" w:rsidRPr="00496C41" w:rsidTr="000606A0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4E350B" w:rsidRPr="00496C41" w:rsidDel="004E350B" w:rsidRDefault="0004135A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val="es-ES_tradnl" w:eastAsia="ja-JP"/>
              </w:rPr>
            </w:pPr>
            <w:r w:rsidRPr="00496C41">
              <w:rPr>
                <w:rFonts w:eastAsia="MS Mincho" w:cs="Arial"/>
                <w:sz w:val="20"/>
                <w:szCs w:val="18"/>
                <w:lang w:val="es-ES_tradnl" w:eastAsia="ja-JP"/>
              </w:rPr>
              <w:t>Observador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E350B" w:rsidRPr="00496C41" w:rsidRDefault="004E350B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</w:tbl>
    <w:p w:rsidR="00BB0549" w:rsidRPr="00496C41" w:rsidRDefault="00BB0549">
      <w:pPr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B0549" w:rsidRPr="00496C41" w:rsidTr="002D0447">
        <w:tc>
          <w:tcPr>
            <w:tcW w:w="10206" w:type="dxa"/>
            <w:shd w:val="clear" w:color="auto" w:fill="auto"/>
          </w:tcPr>
          <w:p w:rsidR="00BB0549" w:rsidRPr="00496C41" w:rsidRDefault="0004135A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Requisitos legales principales:</w:t>
            </w:r>
          </w:p>
          <w:p w:rsidR="00BB0549" w:rsidRPr="00496C41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BB0549" w:rsidRPr="00496C41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BB0549" w:rsidRPr="00496C41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4E350B" w:rsidRPr="00496C41" w:rsidRDefault="004E350B" w:rsidP="000A23FF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BB0549" w:rsidRPr="00496C41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BB0549" w:rsidRPr="00496C41" w:rsidRDefault="00BB0549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</w:tc>
      </w:tr>
    </w:tbl>
    <w:p w:rsidR="003F0BC3" w:rsidRPr="00496C41" w:rsidRDefault="003F0BC3">
      <w:pPr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96F1F" w:rsidRPr="00496C41" w:rsidTr="002D0447">
        <w:tc>
          <w:tcPr>
            <w:tcW w:w="10206" w:type="dxa"/>
            <w:shd w:val="clear" w:color="auto" w:fill="auto"/>
          </w:tcPr>
          <w:p w:rsidR="003F0BC3" w:rsidRPr="00496C41" w:rsidRDefault="0004135A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 xml:space="preserve">Procesos esenciales </w:t>
            </w:r>
            <w:r w:rsidR="002D0447"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subcontratados</w:t>
            </w: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:</w:t>
            </w:r>
          </w:p>
          <w:p w:rsidR="003F0BC3" w:rsidRPr="00496C41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3F0BC3" w:rsidRPr="00496C41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E60AC3" w:rsidRPr="00496C41" w:rsidRDefault="00E60AC3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3F0BC3" w:rsidRPr="00496C41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3F0BC3" w:rsidRPr="00496C41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</w:tc>
      </w:tr>
    </w:tbl>
    <w:p w:rsidR="00B21DDC" w:rsidRPr="00496C41" w:rsidRDefault="0004135A" w:rsidP="003D3BF8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  <w:r w:rsidRPr="00496C41">
        <w:rPr>
          <w:rFonts w:asciiTheme="minorBidi" w:hAnsiTheme="minorBidi" w:cstheme="minorBidi"/>
          <w:szCs w:val="22"/>
          <w:lang w:val="es-ES_tradnl"/>
        </w:rPr>
        <w:lastRenderedPageBreak/>
        <w:t>Resumen de los resultados:</w:t>
      </w:r>
    </w:p>
    <w:p w:rsidR="003D3BF8" w:rsidRPr="00496C41" w:rsidRDefault="003D3BF8" w:rsidP="003D3BF8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</w:p>
    <w:p w:rsidR="00B21DDC" w:rsidRPr="00496C41" w:rsidRDefault="00B21DDC" w:rsidP="003D3BF8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</w:p>
    <w:p w:rsidR="00B21DDC" w:rsidRPr="00496C41" w:rsidRDefault="0004135A" w:rsidP="003D3BF8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  <w:r w:rsidRPr="00496C41">
        <w:rPr>
          <w:rFonts w:asciiTheme="minorBidi" w:hAnsiTheme="minorBidi" w:cstheme="minorBidi"/>
          <w:szCs w:val="22"/>
          <w:lang w:val="es-ES_tradnl"/>
        </w:rPr>
        <w:t>Número de esfuerzos notables:</w:t>
      </w:r>
    </w:p>
    <w:p w:rsidR="00B21DDC" w:rsidRPr="00496C41" w:rsidRDefault="00B21DDC" w:rsidP="003D3BF8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</w:p>
    <w:p w:rsidR="00B21DDC" w:rsidRPr="00496C41" w:rsidRDefault="0004135A" w:rsidP="003D3BF8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  <w:r w:rsidRPr="00496C41">
        <w:rPr>
          <w:rFonts w:asciiTheme="minorBidi" w:hAnsiTheme="minorBidi" w:cstheme="minorBidi"/>
          <w:szCs w:val="22"/>
          <w:lang w:val="es-ES_tradnl"/>
        </w:rPr>
        <w:t xml:space="preserve">Número total de </w:t>
      </w:r>
      <w:r w:rsidRPr="00496C41">
        <w:rPr>
          <w:rFonts w:asciiTheme="minorBidi" w:hAnsiTheme="minorBidi" w:cstheme="minorBidi"/>
          <w:szCs w:val="22"/>
          <w:lang w:val="es-ES_tradnl" w:eastAsia="zh-CN"/>
        </w:rPr>
        <w:t>faltas de conformidad (FC) detectadas:</w:t>
      </w:r>
    </w:p>
    <w:p w:rsidR="003D3BF8" w:rsidRPr="00496C41" w:rsidRDefault="003D3BF8" w:rsidP="003D3BF8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</w:p>
    <w:p w:rsidR="00B21DDC" w:rsidRPr="00496C41" w:rsidRDefault="0004135A" w:rsidP="002D0447">
      <w:pPr>
        <w:pStyle w:val="ListParagraph"/>
        <w:numPr>
          <w:ilvl w:val="0"/>
          <w:numId w:val="11"/>
        </w:numPr>
        <w:spacing w:after="120"/>
        <w:ind w:left="1077" w:hanging="357"/>
        <w:rPr>
          <w:rFonts w:asciiTheme="minorBidi" w:hAnsiTheme="minorBidi" w:cstheme="minorBidi"/>
          <w:b/>
          <w:sz w:val="22"/>
          <w:szCs w:val="22"/>
          <w:lang w:val="es-ES_tradnl"/>
        </w:rPr>
      </w:pPr>
      <w:r w:rsidRPr="00496C41">
        <w:rPr>
          <w:rFonts w:asciiTheme="minorBidi" w:hAnsiTheme="minorBidi" w:cstheme="minorBidi"/>
          <w:b/>
          <w:sz w:val="22"/>
          <w:szCs w:val="22"/>
          <w:lang w:val="es-ES_tradnl" w:eastAsia="zh-CN"/>
        </w:rPr>
        <w:t xml:space="preserve">Faltas de conformidad </w:t>
      </w:r>
      <w:r w:rsidR="002D0447" w:rsidRPr="00496C41">
        <w:rPr>
          <w:rFonts w:asciiTheme="minorBidi" w:hAnsiTheme="minorBidi" w:cstheme="minorBidi"/>
          <w:b/>
          <w:sz w:val="22"/>
          <w:szCs w:val="22"/>
          <w:lang w:val="es-ES_tradnl" w:eastAsia="zh-CN"/>
        </w:rPr>
        <w:t xml:space="preserve">(mayores) </w:t>
      </w:r>
      <w:r w:rsidRPr="00496C41">
        <w:rPr>
          <w:rFonts w:asciiTheme="minorBidi" w:hAnsiTheme="minorBidi" w:cstheme="minorBidi"/>
          <w:b/>
          <w:sz w:val="22"/>
          <w:szCs w:val="22"/>
          <w:lang w:val="es-ES_tradnl" w:eastAsia="zh-CN"/>
        </w:rPr>
        <w:t>de la categoría 1 (FC1):</w:t>
      </w:r>
    </w:p>
    <w:p w:rsidR="003D3BF8" w:rsidRPr="00496C41" w:rsidRDefault="003D3BF8" w:rsidP="003D3BF8">
      <w:pPr>
        <w:pStyle w:val="ListParagraph"/>
        <w:ind w:left="1080"/>
        <w:rPr>
          <w:rFonts w:asciiTheme="minorBidi" w:hAnsiTheme="minorBidi" w:cstheme="minorBidi"/>
          <w:b/>
          <w:sz w:val="22"/>
          <w:szCs w:val="22"/>
          <w:lang w:val="es-ES_tradnl"/>
        </w:rPr>
      </w:pPr>
    </w:p>
    <w:p w:rsidR="00E05392" w:rsidRPr="00496C41" w:rsidRDefault="0004135A" w:rsidP="003D3BF8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b/>
          <w:sz w:val="22"/>
          <w:szCs w:val="22"/>
          <w:lang w:val="es-ES_tradnl"/>
        </w:rPr>
      </w:pPr>
      <w:r w:rsidRPr="00496C41">
        <w:rPr>
          <w:rFonts w:asciiTheme="minorBidi" w:hAnsiTheme="minorBidi" w:cstheme="minorBidi"/>
          <w:b/>
          <w:sz w:val="22"/>
          <w:szCs w:val="22"/>
          <w:lang w:val="es-ES_tradnl"/>
        </w:rPr>
        <w:t>Faltas de conformidad</w:t>
      </w:r>
      <w:r w:rsidR="002D0447" w:rsidRPr="00496C41">
        <w:rPr>
          <w:rFonts w:asciiTheme="minorBidi" w:hAnsiTheme="minorBidi" w:cstheme="minorBidi"/>
          <w:b/>
          <w:sz w:val="22"/>
          <w:szCs w:val="22"/>
          <w:lang w:val="es-ES_tradnl"/>
        </w:rPr>
        <w:t xml:space="preserve"> (menores)</w:t>
      </w:r>
      <w:r w:rsidRPr="00496C41">
        <w:rPr>
          <w:rFonts w:asciiTheme="minorBidi" w:hAnsiTheme="minorBidi" w:cstheme="minorBidi"/>
          <w:b/>
          <w:sz w:val="22"/>
          <w:szCs w:val="22"/>
          <w:lang w:val="es-ES_tradnl"/>
        </w:rPr>
        <w:t xml:space="preserve"> de la categoría 2 (FC2):</w:t>
      </w:r>
    </w:p>
    <w:p w:rsidR="00E05392" w:rsidRPr="00496C41" w:rsidRDefault="00E05392" w:rsidP="003D3BF8">
      <w:pPr>
        <w:ind w:left="360"/>
        <w:rPr>
          <w:rFonts w:asciiTheme="minorBidi" w:hAnsiTheme="minorBidi" w:cstheme="minorBidi"/>
          <w:b/>
          <w:lang w:val="es-ES_tradnl"/>
        </w:rPr>
      </w:pPr>
    </w:p>
    <w:p w:rsidR="00E05392" w:rsidRPr="00496C41" w:rsidRDefault="0004135A" w:rsidP="003D3BF8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  <w:r w:rsidRPr="00496C41">
        <w:rPr>
          <w:rFonts w:asciiTheme="minorBidi" w:hAnsiTheme="minorBidi" w:cstheme="minorBidi"/>
          <w:szCs w:val="22"/>
          <w:lang w:val="es-ES_tradnl"/>
        </w:rPr>
        <w:t>Número de observaciones:</w:t>
      </w:r>
    </w:p>
    <w:p w:rsidR="00E05392" w:rsidRPr="00496C41" w:rsidRDefault="00E05392" w:rsidP="003D3BF8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</w:p>
    <w:p w:rsidR="00E012BA" w:rsidRPr="00496C41" w:rsidRDefault="00E012BA" w:rsidP="003D3BF8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</w:p>
    <w:p w:rsidR="00E012BA" w:rsidRPr="00496C41" w:rsidRDefault="0004135A" w:rsidP="003D3BF8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  <w:r w:rsidRPr="00496C41">
        <w:rPr>
          <w:rFonts w:asciiTheme="minorBidi" w:hAnsiTheme="minorBidi" w:cstheme="minorBidi"/>
          <w:szCs w:val="22"/>
          <w:lang w:val="es-ES_tradnl"/>
        </w:rPr>
        <w:t>Resultados principales de la auditoría:</w:t>
      </w:r>
    </w:p>
    <w:p w:rsidR="00ED7395" w:rsidRPr="00496C41" w:rsidRDefault="00ED7395" w:rsidP="00E012BA">
      <w:pPr>
        <w:pStyle w:val="Subtitle"/>
        <w:jc w:val="left"/>
        <w:rPr>
          <w:rFonts w:asciiTheme="minorBidi" w:hAnsiTheme="minorBidi" w:cstheme="minorBidi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D7395" w:rsidRPr="00496C41" w:rsidTr="002D0447">
        <w:tc>
          <w:tcPr>
            <w:tcW w:w="10440" w:type="dxa"/>
            <w:shd w:val="clear" w:color="auto" w:fill="auto"/>
          </w:tcPr>
          <w:p w:rsidR="00ED7395" w:rsidRPr="00496C41" w:rsidRDefault="0004135A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Esfuerzos notables:</w:t>
            </w: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F0168B" w:rsidRPr="00496C41" w:rsidRDefault="00F0168B" w:rsidP="000A23FF">
            <w:pPr>
              <w:pStyle w:val="Subtitle"/>
              <w:jc w:val="left"/>
              <w:rPr>
                <w:rFonts w:cs="Arial"/>
                <w:sz w:val="20"/>
                <w:szCs w:val="21"/>
                <w:lang w:val="es-ES_tradnl"/>
              </w:rPr>
            </w:pP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</w:tc>
      </w:tr>
    </w:tbl>
    <w:p w:rsidR="00ED7395" w:rsidRPr="00496C41" w:rsidRDefault="00ED7395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D7395" w:rsidRPr="00496C41" w:rsidTr="002D0447">
        <w:tc>
          <w:tcPr>
            <w:tcW w:w="10440" w:type="dxa"/>
            <w:shd w:val="clear" w:color="auto" w:fill="auto"/>
          </w:tcPr>
          <w:p w:rsidR="00ED7395" w:rsidRPr="00496C41" w:rsidRDefault="0004135A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 w:eastAsia="zh-CN"/>
              </w:rPr>
              <w:t>Faltas de conformidad:</w:t>
            </w: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6D3D95" w:rsidRPr="00496C41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</w:tc>
      </w:tr>
    </w:tbl>
    <w:p w:rsidR="00ED7395" w:rsidRPr="00496C41" w:rsidRDefault="00ED7395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D7395" w:rsidRPr="00496C41" w:rsidTr="002D0447">
        <w:tc>
          <w:tcPr>
            <w:tcW w:w="10440" w:type="dxa"/>
            <w:shd w:val="clear" w:color="auto" w:fill="auto"/>
          </w:tcPr>
          <w:p w:rsidR="00ED7395" w:rsidRPr="00496C41" w:rsidRDefault="0004135A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Observaciones:</w:t>
            </w: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6D3D95" w:rsidRPr="00496C41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ED7395" w:rsidRPr="00496C41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</w:tc>
      </w:tr>
    </w:tbl>
    <w:p w:rsidR="00ED7395" w:rsidRPr="00496C41" w:rsidRDefault="00ED7395" w:rsidP="00ED7395">
      <w:pPr>
        <w:spacing w:before="60" w:after="60"/>
        <w:rPr>
          <w:rFonts w:cs="Arial"/>
          <w:b/>
          <w:bCs/>
          <w:sz w:val="20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168B" w:rsidRPr="00496C41" w:rsidTr="002D0447">
        <w:tc>
          <w:tcPr>
            <w:tcW w:w="10440" w:type="dxa"/>
            <w:shd w:val="clear" w:color="auto" w:fill="auto"/>
          </w:tcPr>
          <w:p w:rsidR="00F0168B" w:rsidRPr="00496C41" w:rsidRDefault="0004135A" w:rsidP="005E2642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Oportunidades para mejorar:</w:t>
            </w:r>
          </w:p>
          <w:p w:rsidR="00F0168B" w:rsidRPr="00496C41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F0168B" w:rsidRPr="00496C41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6D3D95" w:rsidRPr="00496C41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F0168B" w:rsidRPr="00496C41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  <w:p w:rsidR="00F0168B" w:rsidRPr="00496C41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  <w:lang w:val="es-ES_tradnl"/>
              </w:rPr>
            </w:pPr>
          </w:p>
        </w:tc>
      </w:tr>
    </w:tbl>
    <w:p w:rsidR="00ED7395" w:rsidRPr="00496C41" w:rsidRDefault="00ED7395" w:rsidP="00ED7395">
      <w:pPr>
        <w:spacing w:before="60" w:after="60"/>
        <w:rPr>
          <w:rFonts w:cs="Arial"/>
          <w:b/>
          <w:bCs/>
          <w:sz w:val="20"/>
          <w:szCs w:val="18"/>
          <w:lang w:val="es-ES_tradnl"/>
        </w:rPr>
      </w:pPr>
    </w:p>
    <w:p w:rsidR="00995CB6" w:rsidRPr="00496C41" w:rsidRDefault="00496C41" w:rsidP="00995CB6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496C41">
        <w:rPr>
          <w:rFonts w:cs="Arial"/>
          <w:sz w:val="20"/>
          <w:szCs w:val="21"/>
          <w:lang w:val="es-ES_tradnl"/>
        </w:rPr>
        <w:t>Resultados y conclusiones</w:t>
      </w:r>
      <w:r w:rsidR="0004135A" w:rsidRPr="00496C41">
        <w:rPr>
          <w:rFonts w:cs="Arial"/>
          <w:sz w:val="20"/>
          <w:szCs w:val="21"/>
          <w:lang w:val="es-ES_tradnl"/>
        </w:rPr>
        <w:t>:</w:t>
      </w:r>
    </w:p>
    <w:p w:rsidR="00607192" w:rsidRPr="00496C41" w:rsidRDefault="00607192" w:rsidP="000A23FF">
      <w:pPr>
        <w:rPr>
          <w:rFonts w:cs="Arial"/>
          <w:b/>
          <w:bCs/>
          <w:sz w:val="20"/>
          <w:szCs w:val="18"/>
          <w:lang w:val="es-ES_tradnl"/>
        </w:rPr>
      </w:pPr>
    </w:p>
    <w:p w:rsidR="00CA24DC" w:rsidRPr="00496C41" w:rsidRDefault="00CA24DC" w:rsidP="000A23FF">
      <w:pPr>
        <w:rPr>
          <w:rFonts w:cs="Arial"/>
          <w:b/>
          <w:bCs/>
          <w:sz w:val="20"/>
          <w:szCs w:val="18"/>
          <w:lang w:val="es-ES_tradnl"/>
        </w:rPr>
      </w:pPr>
    </w:p>
    <w:p w:rsidR="00E60AC3" w:rsidRPr="00496C41" w:rsidRDefault="00E60AC3" w:rsidP="000A23FF">
      <w:pPr>
        <w:rPr>
          <w:rFonts w:cs="Arial"/>
          <w:b/>
          <w:bCs/>
          <w:sz w:val="20"/>
          <w:szCs w:val="18"/>
          <w:lang w:val="es-ES_tradnl"/>
        </w:rPr>
      </w:pPr>
    </w:p>
    <w:p w:rsidR="00E60AC3" w:rsidRPr="00496C41" w:rsidRDefault="00E60AC3" w:rsidP="000A23FF">
      <w:pPr>
        <w:rPr>
          <w:rFonts w:cs="Arial"/>
          <w:b/>
          <w:bCs/>
          <w:sz w:val="20"/>
          <w:szCs w:val="18"/>
          <w:lang w:val="es-ES_tradnl"/>
        </w:rPr>
      </w:pPr>
    </w:p>
    <w:p w:rsidR="00E60AC3" w:rsidRPr="00496C41" w:rsidRDefault="00E60AC3" w:rsidP="000A23FF">
      <w:pPr>
        <w:rPr>
          <w:rFonts w:cs="Arial"/>
          <w:b/>
          <w:bCs/>
          <w:sz w:val="20"/>
          <w:szCs w:val="18"/>
          <w:lang w:val="es-ES_tradnl"/>
        </w:rPr>
      </w:pPr>
    </w:p>
    <w:p w:rsidR="0076424F" w:rsidRPr="00496C41" w:rsidRDefault="0076424F" w:rsidP="000A23FF">
      <w:pPr>
        <w:rPr>
          <w:rFonts w:cs="Arial"/>
          <w:b/>
          <w:bCs/>
          <w:sz w:val="20"/>
          <w:szCs w:val="18"/>
          <w:lang w:val="es-ES_tradnl"/>
        </w:rPr>
      </w:pPr>
    </w:p>
    <w:p w:rsidR="0076424F" w:rsidRPr="00496C41" w:rsidRDefault="0076424F" w:rsidP="000A23FF">
      <w:pPr>
        <w:rPr>
          <w:rFonts w:cs="Arial"/>
          <w:b/>
          <w:bCs/>
          <w:sz w:val="20"/>
          <w:szCs w:val="18"/>
          <w:lang w:val="es-ES_tradnl"/>
        </w:rPr>
      </w:pPr>
    </w:p>
    <w:p w:rsidR="0076424F" w:rsidRPr="00496C41" w:rsidRDefault="0076424F" w:rsidP="000A23FF">
      <w:pPr>
        <w:rPr>
          <w:rFonts w:cs="Arial"/>
          <w:b/>
          <w:bCs/>
          <w:sz w:val="20"/>
          <w:szCs w:val="18"/>
          <w:lang w:val="es-ES_tradnl"/>
        </w:rPr>
      </w:pPr>
    </w:p>
    <w:p w:rsidR="00F81C55" w:rsidRPr="00496C41" w:rsidRDefault="0004135A" w:rsidP="002D0447">
      <w:pPr>
        <w:spacing w:after="120"/>
        <w:rPr>
          <w:rFonts w:eastAsia="Times New Roman" w:cs="Arial"/>
          <w:b/>
          <w:bCs/>
          <w:sz w:val="20"/>
          <w:szCs w:val="21"/>
          <w:lang w:val="es-ES_tradnl" w:eastAsia="en-US"/>
        </w:rPr>
      </w:pPr>
      <w:r w:rsidRPr="00496C41">
        <w:rPr>
          <w:rFonts w:eastAsia="Times New Roman" w:cs="Arial"/>
          <w:b/>
          <w:bCs/>
          <w:sz w:val="20"/>
          <w:szCs w:val="21"/>
          <w:lang w:val="es-ES_tradnl" w:eastAsia="en-US"/>
        </w:rPr>
        <w:lastRenderedPageBreak/>
        <w:t>Próximos pasos:</w:t>
      </w:r>
    </w:p>
    <w:p w:rsidR="001661D4" w:rsidRPr="00496C41" w:rsidRDefault="0004135A" w:rsidP="00402A91">
      <w:pPr>
        <w:spacing w:before="60" w:after="60"/>
        <w:jc w:val="both"/>
        <w:rPr>
          <w:rFonts w:cs="Arial"/>
          <w:sz w:val="20"/>
          <w:szCs w:val="18"/>
          <w:lang w:val="es-ES_tradnl"/>
        </w:rPr>
      </w:pPr>
      <w:r w:rsidRPr="00623FF5">
        <w:rPr>
          <w:rFonts w:cs="Arial"/>
          <w:sz w:val="20"/>
          <w:szCs w:val="18"/>
          <w:lang w:val="es-ES_tradnl"/>
        </w:rPr>
        <w:t>Para poder recibir un certificado provisional de confinamiento o un certificado de confinamiento, la organización tiene que formular un plan de medidas correctivas (</w:t>
      </w:r>
      <w:r w:rsidRPr="002A3248">
        <w:rPr>
          <w:rFonts w:cs="Arial"/>
          <w:sz w:val="20"/>
          <w:szCs w:val="18"/>
          <w:lang w:val="es-ES_tradnl"/>
        </w:rPr>
        <w:t>véase el</w:t>
      </w:r>
      <w:r w:rsidR="002D0447" w:rsidRPr="002A3248">
        <w:rPr>
          <w:rFonts w:cs="Arial"/>
          <w:sz w:val="20"/>
          <w:szCs w:val="18"/>
          <w:lang w:val="es-ES_tradnl"/>
        </w:rPr>
        <w:t xml:space="preserve"> documento</w:t>
      </w:r>
      <w:r w:rsidRPr="002A3248">
        <w:rPr>
          <w:rFonts w:cs="Arial"/>
          <w:sz w:val="20"/>
          <w:szCs w:val="18"/>
          <w:lang w:val="es-ES_tradnl"/>
        </w:rPr>
        <w:t xml:space="preserve"> </w:t>
      </w:r>
      <w:hyperlink r:id="rId14" w:anchor="ccsforms" w:history="1">
        <w:r w:rsidR="002D0447" w:rsidRPr="002A3248">
          <w:rPr>
            <w:rStyle w:val="Hyperlink"/>
            <w:rFonts w:cs="Arial"/>
            <w:sz w:val="20"/>
            <w:szCs w:val="18"/>
            <w:lang w:val="es-ES_tradnl"/>
          </w:rPr>
          <w:t>Resultados de la auditoría y p</w:t>
        </w:r>
        <w:r w:rsidRPr="002A3248">
          <w:rPr>
            <w:rStyle w:val="Hyperlink"/>
            <w:rFonts w:cs="Arial"/>
            <w:sz w:val="20"/>
            <w:szCs w:val="18"/>
            <w:lang w:val="es-ES_tradnl"/>
          </w:rPr>
          <w:t>lan de medidas correctivas</w:t>
        </w:r>
      </w:hyperlink>
      <w:r w:rsidRPr="002A3248">
        <w:rPr>
          <w:rFonts w:cs="Arial"/>
          <w:sz w:val="20"/>
          <w:szCs w:val="18"/>
          <w:lang w:val="es-ES_tradnl"/>
        </w:rPr>
        <w:t xml:space="preserve"> para la certificación del confinamiento del GAPIII) y presentarlo a la </w:t>
      </w:r>
      <w:r w:rsidR="002D0447" w:rsidRPr="002A3248">
        <w:rPr>
          <w:rFonts w:cs="Arial"/>
          <w:iCs/>
          <w:sz w:val="20"/>
          <w:szCs w:val="18"/>
          <w:lang w:val="es-ES_tradnl"/>
        </w:rPr>
        <w:t>autoridad nacional de confinamiento</w:t>
      </w:r>
      <w:r w:rsidRPr="002A3248">
        <w:rPr>
          <w:rFonts w:cs="Arial"/>
          <w:sz w:val="20"/>
          <w:szCs w:val="18"/>
          <w:lang w:val="es-ES_tradnl"/>
        </w:rPr>
        <w:t xml:space="preserve"> para su examen y aprobación.</w:t>
      </w:r>
      <w:r w:rsidR="001661D4" w:rsidRPr="002A3248">
        <w:rPr>
          <w:rFonts w:cs="Arial"/>
          <w:sz w:val="20"/>
          <w:szCs w:val="18"/>
          <w:lang w:val="es-ES_tradnl"/>
        </w:rPr>
        <w:t xml:space="preserve"> </w:t>
      </w:r>
      <w:r w:rsidR="00496C41" w:rsidRPr="002A3248">
        <w:rPr>
          <w:rFonts w:cs="Arial"/>
          <w:sz w:val="20"/>
          <w:szCs w:val="18"/>
          <w:lang w:val="es-ES_tradnl"/>
        </w:rPr>
        <w:t>Dicho</w:t>
      </w:r>
      <w:r w:rsidRPr="002A3248">
        <w:rPr>
          <w:rFonts w:cs="Arial"/>
          <w:sz w:val="20"/>
          <w:szCs w:val="18"/>
          <w:lang w:val="es-ES_tradnl"/>
        </w:rPr>
        <w:t xml:space="preserve"> plan debe</w:t>
      </w:r>
      <w:r w:rsidR="002D0447" w:rsidRPr="002A3248">
        <w:rPr>
          <w:rFonts w:cs="Arial"/>
          <w:sz w:val="20"/>
          <w:szCs w:val="18"/>
          <w:lang w:val="es-ES_tradnl"/>
        </w:rPr>
        <w:t>rá</w:t>
      </w:r>
      <w:r w:rsidRPr="00623FF5">
        <w:rPr>
          <w:rFonts w:cs="Arial"/>
          <w:sz w:val="20"/>
          <w:szCs w:val="18"/>
          <w:lang w:val="es-ES_tradnl"/>
        </w:rPr>
        <w:t xml:space="preserve"> señalar:</w:t>
      </w:r>
    </w:p>
    <w:p w:rsidR="001661D4" w:rsidRPr="00496C41" w:rsidRDefault="001661D4" w:rsidP="00B47C7E">
      <w:pPr>
        <w:jc w:val="both"/>
        <w:rPr>
          <w:rFonts w:cs="Arial"/>
          <w:sz w:val="20"/>
          <w:szCs w:val="18"/>
          <w:lang w:val="es-ES_tradnl"/>
        </w:rPr>
      </w:pPr>
    </w:p>
    <w:p w:rsidR="001661D4" w:rsidRPr="00496C41" w:rsidRDefault="0004135A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  <w:lang w:val="es-ES_tradnl"/>
        </w:rPr>
      </w:pPr>
      <w:r w:rsidRPr="00496C41">
        <w:rPr>
          <w:rFonts w:cs="Arial"/>
          <w:sz w:val="20"/>
          <w:szCs w:val="18"/>
          <w:lang w:val="es-ES_tradnl"/>
        </w:rPr>
        <w:t xml:space="preserve">La causa fundamental de cada </w:t>
      </w:r>
      <w:r w:rsidRPr="00496C41">
        <w:rPr>
          <w:rFonts w:cs="Arial"/>
          <w:sz w:val="20"/>
          <w:szCs w:val="18"/>
          <w:lang w:val="es-ES_tradnl" w:eastAsia="nb-NO"/>
        </w:rPr>
        <w:t>falta de conformidad;</w:t>
      </w:r>
      <w:r w:rsidR="001661D4" w:rsidRPr="00496C41">
        <w:rPr>
          <w:rFonts w:cs="Arial"/>
          <w:sz w:val="20"/>
          <w:szCs w:val="18"/>
          <w:lang w:val="es-ES_tradnl"/>
        </w:rPr>
        <w:t xml:space="preserve"> </w:t>
      </w:r>
    </w:p>
    <w:p w:rsidR="00B40386" w:rsidRPr="00496C41" w:rsidRDefault="0004135A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  <w:lang w:val="es-ES_tradnl"/>
        </w:rPr>
      </w:pPr>
      <w:r w:rsidRPr="00496C41">
        <w:rPr>
          <w:rFonts w:cs="Arial"/>
          <w:sz w:val="20"/>
          <w:szCs w:val="18"/>
          <w:lang w:val="es-ES_tradnl"/>
        </w:rPr>
        <w:t>Las medidas correctivas que se han aplicado o que se prevé adoptar;</w:t>
      </w:r>
      <w:r w:rsidR="0076424F" w:rsidRPr="00496C41">
        <w:rPr>
          <w:rFonts w:cs="Arial"/>
          <w:sz w:val="20"/>
          <w:szCs w:val="18"/>
          <w:lang w:val="es-ES_tradnl"/>
        </w:rPr>
        <w:t xml:space="preserve"> </w:t>
      </w:r>
    </w:p>
    <w:p w:rsidR="001661D4" w:rsidRPr="00496C41" w:rsidRDefault="0004135A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  <w:lang w:val="es-ES_tradnl"/>
        </w:rPr>
      </w:pPr>
      <w:r w:rsidRPr="00496C41">
        <w:rPr>
          <w:rFonts w:cs="Arial"/>
          <w:sz w:val="20"/>
          <w:szCs w:val="18"/>
          <w:lang w:val="es-ES_tradnl"/>
        </w:rPr>
        <w:t>Los controles o cambios que</w:t>
      </w:r>
      <w:r w:rsidR="002D0447" w:rsidRPr="00496C41">
        <w:rPr>
          <w:rFonts w:cs="Arial"/>
          <w:sz w:val="20"/>
          <w:szCs w:val="18"/>
          <w:lang w:val="es-ES_tradnl"/>
        </w:rPr>
        <w:t xml:space="preserve"> se llevarán a cabo para procur</w:t>
      </w:r>
      <w:r w:rsidRPr="00496C41">
        <w:rPr>
          <w:rFonts w:cs="Arial"/>
          <w:sz w:val="20"/>
          <w:szCs w:val="18"/>
          <w:lang w:val="es-ES_tradnl"/>
        </w:rPr>
        <w:t xml:space="preserve">ar que no vuelva a ocurrir ninguna de las </w:t>
      </w:r>
      <w:r w:rsidRPr="00496C41">
        <w:rPr>
          <w:rFonts w:cs="Arial"/>
          <w:sz w:val="20"/>
          <w:szCs w:val="18"/>
          <w:lang w:val="es-ES_tradnl" w:eastAsia="zh-CN"/>
        </w:rPr>
        <w:t>faltas de conformidad;</w:t>
      </w:r>
      <w:r w:rsidR="001661D4" w:rsidRPr="00496C41">
        <w:rPr>
          <w:rFonts w:cs="Arial"/>
          <w:sz w:val="20"/>
          <w:szCs w:val="18"/>
          <w:lang w:val="es-ES_tradnl"/>
        </w:rPr>
        <w:t xml:space="preserve"> </w:t>
      </w:r>
    </w:p>
    <w:p w:rsidR="001661D4" w:rsidRPr="00496C41" w:rsidRDefault="0004135A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  <w:lang w:val="es-ES_tradnl"/>
        </w:rPr>
      </w:pPr>
      <w:r w:rsidRPr="00496C41">
        <w:rPr>
          <w:rFonts w:cs="Arial"/>
          <w:sz w:val="20"/>
          <w:szCs w:val="18"/>
          <w:lang w:val="es-ES_tradnl"/>
        </w:rPr>
        <w:t>El cronograma y la</w:t>
      </w:r>
      <w:r w:rsidR="002D0447" w:rsidRPr="00496C41">
        <w:rPr>
          <w:rFonts w:cs="Arial"/>
          <w:sz w:val="20"/>
          <w:szCs w:val="18"/>
          <w:lang w:val="es-ES_tradnl"/>
        </w:rPr>
        <w:t>s</w:t>
      </w:r>
      <w:r w:rsidRPr="00496C41">
        <w:rPr>
          <w:rFonts w:cs="Arial"/>
          <w:sz w:val="20"/>
          <w:szCs w:val="18"/>
          <w:lang w:val="es-ES_tradnl"/>
        </w:rPr>
        <w:t xml:space="preserve"> persona</w:t>
      </w:r>
      <w:r w:rsidR="002D0447" w:rsidRPr="00496C41">
        <w:rPr>
          <w:rFonts w:cs="Arial"/>
          <w:sz w:val="20"/>
          <w:szCs w:val="18"/>
          <w:lang w:val="es-ES_tradnl"/>
        </w:rPr>
        <w:t>s</w:t>
      </w:r>
      <w:r w:rsidRPr="00496C41">
        <w:rPr>
          <w:rFonts w:cs="Arial"/>
          <w:sz w:val="20"/>
          <w:szCs w:val="18"/>
          <w:lang w:val="es-ES_tradnl"/>
        </w:rPr>
        <w:t xml:space="preserve"> que se encargará</w:t>
      </w:r>
      <w:r w:rsidR="002D0447" w:rsidRPr="00496C41">
        <w:rPr>
          <w:rFonts w:cs="Arial"/>
          <w:sz w:val="20"/>
          <w:szCs w:val="18"/>
          <w:lang w:val="es-ES_tradnl"/>
        </w:rPr>
        <w:t>n</w:t>
      </w:r>
      <w:r w:rsidRPr="00496C41">
        <w:rPr>
          <w:rFonts w:cs="Arial"/>
          <w:sz w:val="20"/>
          <w:szCs w:val="18"/>
          <w:lang w:val="es-ES_tradnl"/>
        </w:rPr>
        <w:t xml:space="preserve"> de implantar las medidas correctivas.</w:t>
      </w:r>
      <w:r w:rsidR="001661D4" w:rsidRPr="00496C41">
        <w:rPr>
          <w:rFonts w:cs="Arial"/>
          <w:sz w:val="20"/>
          <w:szCs w:val="18"/>
          <w:lang w:val="es-ES_tradnl"/>
        </w:rPr>
        <w:t xml:space="preserve"> </w:t>
      </w:r>
    </w:p>
    <w:p w:rsidR="001661D4" w:rsidRPr="00496C41" w:rsidRDefault="0004135A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  <w:lang w:val="es-ES_tradnl"/>
        </w:rPr>
      </w:pPr>
      <w:r w:rsidRPr="00496C41">
        <w:rPr>
          <w:rFonts w:cs="Arial"/>
          <w:sz w:val="20"/>
          <w:szCs w:val="18"/>
          <w:lang w:val="es-ES_tradnl"/>
        </w:rPr>
        <w:t>Las medidas del desempeño u otras pruebas de respaldo que serán monitoreadas para comprobar la eficacia de las medidas correctivas puestas en práctica.</w:t>
      </w:r>
      <w:r w:rsidR="001661D4" w:rsidRPr="00496C41">
        <w:rPr>
          <w:rFonts w:cs="Arial"/>
          <w:sz w:val="20"/>
          <w:szCs w:val="18"/>
          <w:lang w:val="es-ES_tradnl"/>
        </w:rPr>
        <w:t xml:space="preserve"> </w:t>
      </w:r>
    </w:p>
    <w:p w:rsidR="001661D4" w:rsidRPr="00496C41" w:rsidRDefault="001661D4" w:rsidP="00B47C7E">
      <w:pPr>
        <w:jc w:val="both"/>
        <w:rPr>
          <w:rFonts w:cs="Arial"/>
          <w:sz w:val="20"/>
          <w:szCs w:val="18"/>
          <w:lang w:val="es-ES_tradnl"/>
        </w:rPr>
      </w:pPr>
    </w:p>
    <w:p w:rsidR="00ED7395" w:rsidRPr="00496C41" w:rsidRDefault="0004135A" w:rsidP="00B47C7E">
      <w:pPr>
        <w:jc w:val="both"/>
        <w:rPr>
          <w:rFonts w:cs="Arial"/>
          <w:sz w:val="20"/>
          <w:szCs w:val="18"/>
          <w:lang w:val="es-ES_tradnl"/>
        </w:rPr>
      </w:pPr>
      <w:r w:rsidRPr="00496C41">
        <w:rPr>
          <w:rFonts w:cs="Arial"/>
          <w:sz w:val="20"/>
          <w:szCs w:val="18"/>
          <w:lang w:val="es-ES_tradnl"/>
        </w:rPr>
        <w:t xml:space="preserve">El plan de medidas correctivas deberá presentarse a la </w:t>
      </w:r>
      <w:r w:rsidR="002D0447" w:rsidRPr="00496C41">
        <w:rPr>
          <w:rFonts w:cs="Arial"/>
          <w:iCs/>
          <w:sz w:val="20"/>
          <w:szCs w:val="18"/>
          <w:lang w:val="es-ES_tradnl"/>
        </w:rPr>
        <w:t>autoridad nacional de confinamiento</w:t>
      </w:r>
      <w:r w:rsidRPr="00496C41">
        <w:rPr>
          <w:rFonts w:cs="Arial"/>
          <w:sz w:val="20"/>
          <w:szCs w:val="18"/>
          <w:lang w:val="es-ES_tradnl"/>
        </w:rPr>
        <w:t xml:space="preserve"> competente a más tardar 40 días después de</w:t>
      </w:r>
      <w:r w:rsidR="002D0447" w:rsidRPr="00496C41">
        <w:rPr>
          <w:rFonts w:cs="Arial"/>
          <w:sz w:val="20"/>
          <w:szCs w:val="18"/>
          <w:lang w:val="es-ES_tradnl"/>
        </w:rPr>
        <w:t>l recibo</w:t>
      </w:r>
      <w:r w:rsidRPr="00496C41">
        <w:rPr>
          <w:rFonts w:cs="Arial"/>
          <w:sz w:val="20"/>
          <w:szCs w:val="18"/>
          <w:lang w:val="es-ES_tradnl"/>
        </w:rPr>
        <w:t xml:space="preserve"> del presente informe.</w:t>
      </w:r>
    </w:p>
    <w:p w:rsidR="00ED7395" w:rsidRPr="00496C41" w:rsidRDefault="00ED7395" w:rsidP="00B0595B">
      <w:pPr>
        <w:pStyle w:val="Subtitle"/>
        <w:jc w:val="left"/>
        <w:rPr>
          <w:rFonts w:cs="Arial"/>
          <w:b w:val="0"/>
          <w:sz w:val="20"/>
          <w:szCs w:val="21"/>
          <w:lang w:val="es-ES_tradnl"/>
        </w:rPr>
      </w:pPr>
    </w:p>
    <w:p w:rsidR="00986EE1" w:rsidRPr="00496C41" w:rsidRDefault="00986EE1" w:rsidP="00B0595B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995CB6" w:rsidRPr="00496C41" w:rsidRDefault="0004135A" w:rsidP="00995CB6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496C41">
        <w:rPr>
          <w:rFonts w:cs="Arial"/>
          <w:sz w:val="20"/>
          <w:szCs w:val="21"/>
          <w:lang w:val="es-ES_tradnl"/>
        </w:rPr>
        <w:t>Próxima auditoría:</w:t>
      </w:r>
    </w:p>
    <w:p w:rsidR="00995CB6" w:rsidRPr="00496C41" w:rsidRDefault="00995CB6" w:rsidP="00E012BA">
      <w:pPr>
        <w:pStyle w:val="Subtitle"/>
        <w:jc w:val="left"/>
        <w:rPr>
          <w:rFonts w:cs="Arial"/>
          <w:b w:val="0"/>
          <w:sz w:val="20"/>
          <w:szCs w:val="21"/>
          <w:lang w:val="es-ES_tradnl"/>
        </w:rPr>
      </w:pPr>
    </w:p>
    <w:tbl>
      <w:tblPr>
        <w:tblW w:w="9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948"/>
        <w:gridCol w:w="363"/>
        <w:gridCol w:w="2948"/>
        <w:gridCol w:w="363"/>
        <w:gridCol w:w="2948"/>
      </w:tblGrid>
      <w:tr w:rsidR="00B1771F" w:rsidRPr="00496C41" w:rsidTr="00B1771F">
        <w:tc>
          <w:tcPr>
            <w:tcW w:w="363" w:type="dxa"/>
            <w:shd w:val="clear" w:color="auto" w:fill="auto"/>
          </w:tcPr>
          <w:p w:rsidR="00B1771F" w:rsidRPr="00496C41" w:rsidRDefault="00B1771F" w:rsidP="005A21E4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B1771F" w:rsidRPr="00496C41" w:rsidRDefault="0004135A" w:rsidP="005A21E4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Auditoría inicial</w:t>
            </w:r>
            <w:r w:rsidR="00B1771F"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 xml:space="preserve"> </w:t>
            </w:r>
          </w:p>
        </w:tc>
        <w:tc>
          <w:tcPr>
            <w:tcW w:w="363" w:type="dxa"/>
            <w:shd w:val="clear" w:color="auto" w:fill="auto"/>
          </w:tcPr>
          <w:p w:rsidR="00B1771F" w:rsidRPr="00496C41" w:rsidRDefault="00B1771F" w:rsidP="005A21E4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948" w:type="dxa"/>
          </w:tcPr>
          <w:p w:rsidR="00B1771F" w:rsidRPr="00496C41" w:rsidRDefault="0004135A" w:rsidP="005A21E4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Auditoría periódica</w:t>
            </w:r>
          </w:p>
        </w:tc>
        <w:tc>
          <w:tcPr>
            <w:tcW w:w="363" w:type="dxa"/>
          </w:tcPr>
          <w:p w:rsidR="00B1771F" w:rsidRPr="00496C41" w:rsidRDefault="00B1771F" w:rsidP="005A21E4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948" w:type="dxa"/>
          </w:tcPr>
          <w:p w:rsidR="00B1771F" w:rsidRPr="00496C41" w:rsidRDefault="0004135A" w:rsidP="005A21E4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Auditoría de renovación de la certificación</w:t>
            </w:r>
          </w:p>
        </w:tc>
      </w:tr>
    </w:tbl>
    <w:p w:rsidR="00B1771F" w:rsidRPr="00496C41" w:rsidRDefault="00B1771F" w:rsidP="00E012BA">
      <w:pPr>
        <w:pStyle w:val="Subtitle"/>
        <w:jc w:val="left"/>
        <w:rPr>
          <w:rFonts w:cs="Arial"/>
          <w:b w:val="0"/>
          <w:sz w:val="20"/>
          <w:szCs w:val="21"/>
          <w:lang w:val="es-ES_tradnl"/>
        </w:rPr>
      </w:pPr>
    </w:p>
    <w:p w:rsidR="00B1771F" w:rsidRPr="00496C41" w:rsidRDefault="0004135A" w:rsidP="00E012BA">
      <w:pPr>
        <w:pStyle w:val="Subtitle"/>
        <w:jc w:val="left"/>
        <w:rPr>
          <w:rFonts w:cs="Arial"/>
          <w:b w:val="0"/>
          <w:sz w:val="20"/>
          <w:szCs w:val="21"/>
          <w:lang w:val="es-ES_tradnl"/>
        </w:rPr>
      </w:pPr>
      <w:r w:rsidRPr="00496C41">
        <w:rPr>
          <w:rFonts w:cs="Arial"/>
          <w:b w:val="0"/>
          <w:sz w:val="20"/>
          <w:szCs w:val="21"/>
          <w:lang w:val="es-ES_tradnl"/>
        </w:rPr>
        <w:t>Fecha propuesta:</w:t>
      </w:r>
    </w:p>
    <w:p w:rsidR="00CA24DC" w:rsidRPr="00496C41" w:rsidRDefault="00CA24DC" w:rsidP="00B1771F">
      <w:pPr>
        <w:pStyle w:val="Subtitle"/>
        <w:jc w:val="left"/>
        <w:rPr>
          <w:rFonts w:cs="Arial"/>
          <w:b w:val="0"/>
          <w:sz w:val="20"/>
          <w:szCs w:val="21"/>
          <w:lang w:val="es-ES_tradnl"/>
        </w:rPr>
      </w:pPr>
    </w:p>
    <w:p w:rsidR="00E05392" w:rsidRPr="00496C41" w:rsidRDefault="00E05392" w:rsidP="00B1771F">
      <w:pPr>
        <w:rPr>
          <w:rFonts w:cs="Arial"/>
          <w:b/>
          <w:sz w:val="18"/>
          <w:szCs w:val="18"/>
          <w:lang w:val="es-ES_tradnl"/>
        </w:rPr>
      </w:pPr>
    </w:p>
    <w:p w:rsidR="00CA24DC" w:rsidRPr="00496C41" w:rsidRDefault="0004135A" w:rsidP="00CA24DC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496C41">
        <w:rPr>
          <w:rFonts w:cs="Arial"/>
          <w:sz w:val="20"/>
          <w:szCs w:val="21"/>
          <w:lang w:val="es-ES_tradnl"/>
        </w:rPr>
        <w:t>Otros anexos:</w:t>
      </w:r>
    </w:p>
    <w:p w:rsidR="00CA24DC" w:rsidRPr="00496C41" w:rsidRDefault="00CA24DC" w:rsidP="00CA24DC">
      <w:pPr>
        <w:pStyle w:val="Subtitle"/>
        <w:jc w:val="left"/>
        <w:rPr>
          <w:rFonts w:cs="Arial"/>
          <w:b w:val="0"/>
          <w:sz w:val="20"/>
          <w:szCs w:val="21"/>
          <w:lang w:val="es-ES_tradnl"/>
        </w:rPr>
      </w:pPr>
    </w:p>
    <w:tbl>
      <w:tblPr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6"/>
        <w:gridCol w:w="2489"/>
        <w:gridCol w:w="315"/>
        <w:gridCol w:w="2880"/>
        <w:gridCol w:w="540"/>
        <w:gridCol w:w="3420"/>
      </w:tblGrid>
      <w:tr w:rsidR="004E350B" w:rsidRPr="00496C41" w:rsidTr="004F39FC">
        <w:tc>
          <w:tcPr>
            <w:tcW w:w="436" w:type="dxa"/>
            <w:shd w:val="clear" w:color="auto" w:fill="auto"/>
          </w:tcPr>
          <w:p w:rsidR="00E573E5" w:rsidRPr="00496C41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E573E5" w:rsidRPr="00496C41" w:rsidRDefault="0004135A" w:rsidP="00E573E5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Plan de auditoría</w:t>
            </w:r>
          </w:p>
        </w:tc>
        <w:tc>
          <w:tcPr>
            <w:tcW w:w="315" w:type="dxa"/>
            <w:shd w:val="clear" w:color="auto" w:fill="auto"/>
          </w:tcPr>
          <w:p w:rsidR="00E573E5" w:rsidRPr="00496C41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E573E5" w:rsidRPr="00496C41" w:rsidRDefault="0004135A" w:rsidP="00E573E5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Lista de los resultados</w:t>
            </w:r>
          </w:p>
        </w:tc>
        <w:tc>
          <w:tcPr>
            <w:tcW w:w="540" w:type="dxa"/>
            <w:shd w:val="clear" w:color="auto" w:fill="auto"/>
          </w:tcPr>
          <w:p w:rsidR="00E573E5" w:rsidRPr="00496C41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E573E5" w:rsidRPr="00496C41" w:rsidRDefault="0004135A" w:rsidP="004F39FC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Resumen de los contactos clave del establecimiento auditado</w:t>
            </w:r>
          </w:p>
        </w:tc>
      </w:tr>
      <w:tr w:rsidR="00E573E5" w:rsidRPr="00496C41" w:rsidTr="004F39FC">
        <w:tc>
          <w:tcPr>
            <w:tcW w:w="436" w:type="dxa"/>
            <w:shd w:val="clear" w:color="auto" w:fill="auto"/>
          </w:tcPr>
          <w:p w:rsidR="00E573E5" w:rsidRPr="00496C41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5436DF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496C4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E573E5" w:rsidRPr="00496C41" w:rsidRDefault="0004135A" w:rsidP="004F39FC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496C41">
              <w:rPr>
                <w:rFonts w:cs="Arial"/>
                <w:b/>
                <w:bCs/>
                <w:sz w:val="20"/>
                <w:szCs w:val="18"/>
                <w:lang w:val="es-ES_tradnl"/>
              </w:rPr>
              <w:t>Otros (sírvase especificar):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73E5" w:rsidRPr="00496C41" w:rsidRDefault="00E573E5" w:rsidP="00E573E5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</w:p>
        </w:tc>
      </w:tr>
    </w:tbl>
    <w:p w:rsidR="00B21DDC" w:rsidRPr="00496C41" w:rsidRDefault="00B21DDC" w:rsidP="00B1771F">
      <w:pPr>
        <w:pStyle w:val="Subtitle"/>
        <w:jc w:val="left"/>
        <w:rPr>
          <w:rFonts w:cs="Arial"/>
          <w:b w:val="0"/>
          <w:sz w:val="20"/>
          <w:szCs w:val="21"/>
          <w:lang w:val="es-ES_tradnl"/>
        </w:rPr>
      </w:pPr>
    </w:p>
    <w:p w:rsidR="00607192" w:rsidRPr="00496C41" w:rsidRDefault="00607192" w:rsidP="00B1771F">
      <w:pPr>
        <w:pStyle w:val="Subtitle"/>
        <w:jc w:val="left"/>
        <w:rPr>
          <w:rFonts w:cs="Arial"/>
          <w:b w:val="0"/>
          <w:sz w:val="20"/>
          <w:szCs w:val="21"/>
          <w:lang w:val="es-ES_tradnl"/>
        </w:rPr>
      </w:pPr>
    </w:p>
    <w:p w:rsidR="00D745F6" w:rsidRPr="00496C41" w:rsidRDefault="0004135A" w:rsidP="00D745F6">
      <w:pPr>
        <w:pStyle w:val="Subtitle"/>
        <w:jc w:val="left"/>
        <w:rPr>
          <w:rFonts w:cs="Arial"/>
          <w:sz w:val="28"/>
          <w:szCs w:val="21"/>
          <w:lang w:val="es-ES_tradnl"/>
        </w:rPr>
      </w:pPr>
      <w:r w:rsidRPr="00496C41">
        <w:rPr>
          <w:rFonts w:cs="Arial"/>
          <w:sz w:val="28"/>
          <w:szCs w:val="21"/>
          <w:lang w:val="es-ES_tradnl"/>
        </w:rPr>
        <w:t>PLAZOS Y CONDICIONES</w:t>
      </w:r>
    </w:p>
    <w:p w:rsidR="00D745F6" w:rsidRPr="00496C41" w:rsidRDefault="00D745F6" w:rsidP="00D745F6">
      <w:pPr>
        <w:pStyle w:val="Subtitle"/>
        <w:jc w:val="left"/>
        <w:rPr>
          <w:rFonts w:cs="Arial"/>
          <w:b w:val="0"/>
          <w:sz w:val="20"/>
          <w:szCs w:val="21"/>
          <w:lang w:val="es-ES_tradnl"/>
        </w:rPr>
      </w:pPr>
    </w:p>
    <w:p w:rsidR="00D745F6" w:rsidRPr="00496C41" w:rsidRDefault="00D745F6" w:rsidP="00D745F6">
      <w:pPr>
        <w:pStyle w:val="Subtitle"/>
        <w:jc w:val="left"/>
        <w:rPr>
          <w:rFonts w:cs="Arial"/>
          <w:b w:val="0"/>
          <w:sz w:val="20"/>
          <w:szCs w:val="21"/>
          <w:lang w:val="es-ES_tradnl"/>
        </w:rPr>
      </w:pPr>
    </w:p>
    <w:p w:rsidR="00D745F6" w:rsidRPr="00496C41" w:rsidRDefault="005A21E4" w:rsidP="002D0447">
      <w:pPr>
        <w:pStyle w:val="Subtitle"/>
        <w:spacing w:after="120"/>
        <w:jc w:val="left"/>
        <w:rPr>
          <w:rFonts w:cs="Arial"/>
          <w:sz w:val="20"/>
          <w:szCs w:val="21"/>
          <w:lang w:val="es-ES_tradnl"/>
        </w:rPr>
      </w:pPr>
      <w:r w:rsidRPr="00496C41">
        <w:rPr>
          <w:rFonts w:cs="Arial"/>
          <w:sz w:val="20"/>
          <w:szCs w:val="21"/>
          <w:lang w:val="es-ES_tradnl"/>
        </w:rPr>
        <w:t>Declaración de confidencialidad</w:t>
      </w:r>
    </w:p>
    <w:p w:rsidR="00D745F6" w:rsidRPr="00496C41" w:rsidRDefault="001120EE" w:rsidP="00B47C7E">
      <w:pPr>
        <w:spacing w:before="60" w:after="60"/>
        <w:jc w:val="both"/>
        <w:rPr>
          <w:rFonts w:cs="Arial"/>
          <w:sz w:val="20"/>
          <w:szCs w:val="18"/>
          <w:lang w:val="es-ES_tradnl"/>
        </w:rPr>
      </w:pPr>
      <w:r w:rsidRPr="00496C41">
        <w:rPr>
          <w:rFonts w:cs="Arial"/>
          <w:sz w:val="20"/>
          <w:szCs w:val="18"/>
          <w:lang w:val="es-ES_tradnl"/>
        </w:rPr>
        <w:t>E</w:t>
      </w:r>
      <w:r w:rsidR="005A21E4" w:rsidRPr="00496C41">
        <w:rPr>
          <w:rFonts w:cs="Arial"/>
          <w:sz w:val="20"/>
          <w:szCs w:val="18"/>
          <w:lang w:val="es-ES_tradnl"/>
        </w:rPr>
        <w:t>l contenido de</w:t>
      </w:r>
      <w:r w:rsidRPr="00496C41">
        <w:rPr>
          <w:rFonts w:cs="Arial"/>
          <w:sz w:val="20"/>
          <w:szCs w:val="18"/>
          <w:lang w:val="es-ES_tradnl"/>
        </w:rPr>
        <w:t>l presente informe de auditoría, con inclusión de cualesquiera notas y listas de verificación cumplimentadas durante la auditoría, serán tratadas con la más estricta confidencia</w:t>
      </w:r>
      <w:r w:rsidR="002D0447" w:rsidRPr="00496C41">
        <w:rPr>
          <w:rFonts w:cs="Arial"/>
          <w:sz w:val="20"/>
          <w:szCs w:val="18"/>
          <w:lang w:val="es-ES_tradnl"/>
        </w:rPr>
        <w:t>lidad</w:t>
      </w:r>
      <w:r w:rsidRPr="00496C41">
        <w:rPr>
          <w:rFonts w:cs="Arial"/>
          <w:sz w:val="20"/>
          <w:szCs w:val="18"/>
          <w:lang w:val="es-ES_tradnl"/>
        </w:rPr>
        <w:t>.</w:t>
      </w:r>
      <w:r w:rsidR="00D745F6" w:rsidRPr="00496C41">
        <w:rPr>
          <w:rFonts w:cs="Arial"/>
          <w:sz w:val="20"/>
          <w:szCs w:val="18"/>
          <w:lang w:val="es-ES_tradnl"/>
        </w:rPr>
        <w:t xml:space="preserve"> </w:t>
      </w:r>
      <w:r w:rsidR="002D0447" w:rsidRPr="00496C41">
        <w:rPr>
          <w:rFonts w:cs="Arial"/>
          <w:sz w:val="20"/>
          <w:szCs w:val="18"/>
          <w:lang w:val="es-ES_tradnl"/>
        </w:rPr>
        <w:t>El informe n</w:t>
      </w:r>
      <w:r w:rsidRPr="00496C41">
        <w:rPr>
          <w:rFonts w:cs="Arial"/>
          <w:sz w:val="20"/>
          <w:szCs w:val="18"/>
          <w:lang w:val="es-ES_tradnl"/>
        </w:rPr>
        <w:t xml:space="preserve">o será divulgado a ningún tercero sin la autorización por escrito del establecimiento auditado, salvo </w:t>
      </w:r>
      <w:r w:rsidR="002D0447" w:rsidRPr="00496C41">
        <w:rPr>
          <w:rFonts w:cs="Arial"/>
          <w:sz w:val="20"/>
          <w:szCs w:val="18"/>
          <w:lang w:val="es-ES_tradnl"/>
        </w:rPr>
        <w:t>mandato de</w:t>
      </w:r>
      <w:r w:rsidRPr="00496C41">
        <w:rPr>
          <w:rFonts w:cs="Arial"/>
          <w:sz w:val="20"/>
          <w:szCs w:val="18"/>
          <w:lang w:val="es-ES_tradnl"/>
        </w:rPr>
        <w:t xml:space="preserve"> las autoridades competentes.</w:t>
      </w:r>
    </w:p>
    <w:p w:rsidR="00D745F6" w:rsidRPr="00496C41" w:rsidRDefault="00D745F6" w:rsidP="00D745F6">
      <w:pPr>
        <w:spacing w:before="60" w:after="60"/>
        <w:rPr>
          <w:rFonts w:cs="Arial"/>
          <w:sz w:val="20"/>
          <w:szCs w:val="18"/>
          <w:lang w:val="es-ES_tradnl"/>
        </w:rPr>
      </w:pPr>
    </w:p>
    <w:p w:rsidR="00D745F6" w:rsidRPr="00496C41" w:rsidRDefault="001120EE" w:rsidP="002A2422">
      <w:pPr>
        <w:pStyle w:val="Subtitle"/>
        <w:spacing w:after="120"/>
        <w:jc w:val="left"/>
        <w:rPr>
          <w:rFonts w:cs="Arial"/>
          <w:sz w:val="20"/>
          <w:szCs w:val="21"/>
          <w:lang w:val="es-ES_tradnl"/>
        </w:rPr>
      </w:pPr>
      <w:r w:rsidRPr="00496C41">
        <w:rPr>
          <w:rFonts w:cs="Arial"/>
          <w:sz w:val="20"/>
          <w:szCs w:val="21"/>
          <w:lang w:val="es-ES_tradnl"/>
        </w:rPr>
        <w:t>Descargo de responsabilidad</w:t>
      </w:r>
    </w:p>
    <w:p w:rsidR="00D745F6" w:rsidRPr="00496C41" w:rsidRDefault="001120EE" w:rsidP="00B47C7E">
      <w:pPr>
        <w:spacing w:before="60" w:after="60"/>
        <w:jc w:val="both"/>
        <w:rPr>
          <w:rFonts w:cs="Arial"/>
          <w:sz w:val="20"/>
          <w:szCs w:val="18"/>
          <w:lang w:val="es-ES_tradnl"/>
        </w:rPr>
      </w:pPr>
      <w:r w:rsidRPr="00496C41">
        <w:rPr>
          <w:rFonts w:cs="Arial"/>
          <w:sz w:val="20"/>
          <w:szCs w:val="18"/>
          <w:lang w:val="es-ES_tradnl"/>
        </w:rPr>
        <w:t xml:space="preserve">La auditoría del sistema de gestión de los riesgos biológicos del GAPIII se basa en la verificación de una muestra de la información reunida en el momento de la auditoría. </w:t>
      </w:r>
      <w:r w:rsidR="00D745F6" w:rsidRPr="00496C41">
        <w:rPr>
          <w:rFonts w:cs="Arial"/>
          <w:sz w:val="20"/>
          <w:szCs w:val="18"/>
          <w:lang w:val="es-ES_tradnl"/>
        </w:rPr>
        <w:t xml:space="preserve"> </w:t>
      </w:r>
      <w:r w:rsidRPr="00496C41">
        <w:rPr>
          <w:rFonts w:cs="Arial"/>
          <w:sz w:val="20"/>
          <w:szCs w:val="18"/>
          <w:lang w:val="es-ES_tradnl"/>
        </w:rPr>
        <w:t>Ello significa que existe un elemento de incertidumbre en los resultados de la auditoría y</w:t>
      </w:r>
      <w:r w:rsidR="002A2422" w:rsidRPr="00496C41">
        <w:rPr>
          <w:rFonts w:cs="Arial"/>
          <w:sz w:val="20"/>
          <w:szCs w:val="18"/>
          <w:lang w:val="es-ES_tradnl"/>
        </w:rPr>
        <w:t>,</w:t>
      </w:r>
      <w:r w:rsidRPr="00496C41">
        <w:rPr>
          <w:rFonts w:cs="Arial"/>
          <w:sz w:val="20"/>
          <w:szCs w:val="18"/>
          <w:lang w:val="es-ES_tradnl"/>
        </w:rPr>
        <w:t xml:space="preserve"> en caso de que no se detecten </w:t>
      </w:r>
      <w:r w:rsidRPr="00496C41">
        <w:rPr>
          <w:rFonts w:cs="Arial"/>
          <w:sz w:val="20"/>
          <w:szCs w:val="18"/>
          <w:lang w:val="es-ES_tradnl" w:eastAsia="zh-CN"/>
        </w:rPr>
        <w:t xml:space="preserve">faltas de conformidad, no </w:t>
      </w:r>
      <w:r w:rsidR="002A2422" w:rsidRPr="00496C41">
        <w:rPr>
          <w:rFonts w:cs="Arial"/>
          <w:sz w:val="20"/>
          <w:szCs w:val="18"/>
          <w:lang w:val="es-ES_tradnl" w:eastAsia="zh-CN"/>
        </w:rPr>
        <w:t>significa</w:t>
      </w:r>
      <w:r w:rsidRPr="00496C41">
        <w:rPr>
          <w:rFonts w:cs="Arial"/>
          <w:sz w:val="20"/>
          <w:szCs w:val="18"/>
          <w:lang w:val="es-ES_tradnl" w:eastAsia="zh-CN"/>
        </w:rPr>
        <w:t xml:space="preserve"> que</w:t>
      </w:r>
      <w:r w:rsidR="002A2422" w:rsidRPr="00496C41">
        <w:rPr>
          <w:rFonts w:cs="Arial"/>
          <w:sz w:val="20"/>
          <w:szCs w:val="18"/>
          <w:lang w:val="es-ES_tradnl" w:eastAsia="zh-CN"/>
        </w:rPr>
        <w:t xml:space="preserve"> estas</w:t>
      </w:r>
      <w:r w:rsidRPr="00496C41">
        <w:rPr>
          <w:rFonts w:cs="Arial"/>
          <w:sz w:val="20"/>
          <w:szCs w:val="18"/>
          <w:lang w:val="es-ES_tradnl" w:eastAsia="zh-CN"/>
        </w:rPr>
        <w:t xml:space="preserve"> no existan en las áreas auditadas o en otras.  </w:t>
      </w:r>
    </w:p>
    <w:p w:rsidR="00D745F6" w:rsidRPr="00496C41" w:rsidRDefault="00D745F6" w:rsidP="00D745F6">
      <w:pPr>
        <w:spacing w:before="60" w:after="60"/>
        <w:rPr>
          <w:rFonts w:cs="Arial"/>
          <w:b/>
          <w:sz w:val="18"/>
          <w:szCs w:val="18"/>
          <w:lang w:val="es-ES_tradnl"/>
        </w:rPr>
      </w:pPr>
    </w:p>
    <w:p w:rsidR="00D745F6" w:rsidRPr="00496C41" w:rsidRDefault="00D745F6" w:rsidP="00D745F6">
      <w:pPr>
        <w:spacing w:before="60" w:after="60"/>
        <w:rPr>
          <w:rFonts w:cs="Arial"/>
          <w:b/>
          <w:sz w:val="18"/>
          <w:szCs w:val="18"/>
          <w:lang w:val="es-ES_tradnl"/>
        </w:rPr>
      </w:pPr>
    </w:p>
    <w:p w:rsidR="00F87212" w:rsidRPr="00496C41" w:rsidRDefault="006D3D95" w:rsidP="00F87212">
      <w:pPr>
        <w:pStyle w:val="Subtitle"/>
        <w:jc w:val="left"/>
        <w:rPr>
          <w:rFonts w:cs="Arial"/>
          <w:sz w:val="28"/>
          <w:szCs w:val="21"/>
          <w:lang w:val="es-ES_tradnl"/>
        </w:rPr>
      </w:pPr>
      <w:r w:rsidRPr="00496C41">
        <w:rPr>
          <w:rFonts w:cs="Arial"/>
          <w:sz w:val="28"/>
          <w:szCs w:val="21"/>
          <w:lang w:val="es-ES_tradnl"/>
        </w:rPr>
        <w:br w:type="page"/>
      </w:r>
      <w:r w:rsidR="001120EE" w:rsidRPr="00496C41">
        <w:rPr>
          <w:rFonts w:cs="Arial"/>
          <w:sz w:val="28"/>
          <w:szCs w:val="21"/>
          <w:lang w:val="es-ES_tradnl"/>
        </w:rPr>
        <w:lastRenderedPageBreak/>
        <w:t>DEFINICIÓN DE LOS RESULTADOS</w:t>
      </w:r>
      <w:r w:rsidR="00F87212" w:rsidRPr="00496C41">
        <w:rPr>
          <w:rFonts w:cs="Arial"/>
          <w:sz w:val="28"/>
          <w:szCs w:val="21"/>
          <w:lang w:val="es-ES_tradnl"/>
        </w:rPr>
        <w:t xml:space="preserve"> </w:t>
      </w:r>
    </w:p>
    <w:p w:rsidR="00F87212" w:rsidRPr="00496C41" w:rsidRDefault="00F87212" w:rsidP="00F87212">
      <w:pPr>
        <w:pStyle w:val="Subtitle"/>
        <w:jc w:val="left"/>
        <w:rPr>
          <w:rFonts w:cs="Arial"/>
          <w:szCs w:val="22"/>
          <w:lang w:val="es-ES_tradnl"/>
        </w:rPr>
      </w:pPr>
    </w:p>
    <w:p w:rsidR="00F87212" w:rsidRPr="00496C41" w:rsidRDefault="00496C41" w:rsidP="002A2422">
      <w:pPr>
        <w:pStyle w:val="Subtitle"/>
        <w:spacing w:after="120"/>
        <w:jc w:val="left"/>
        <w:rPr>
          <w:rFonts w:cs="Arial"/>
          <w:szCs w:val="22"/>
          <w:lang w:val="es-ES_tradnl"/>
        </w:rPr>
      </w:pPr>
      <w:r w:rsidRPr="00496C41">
        <w:rPr>
          <w:rFonts w:cs="Arial"/>
          <w:szCs w:val="22"/>
          <w:lang w:val="es-ES_tradnl"/>
        </w:rPr>
        <w:t>Mayores (categoría 1)</w:t>
      </w:r>
    </w:p>
    <w:p w:rsidR="003D3BF8" w:rsidRPr="00496C41" w:rsidRDefault="001120EE" w:rsidP="002A2422">
      <w:pPr>
        <w:pStyle w:val="Subtitle"/>
        <w:spacing w:after="120"/>
        <w:jc w:val="both"/>
        <w:rPr>
          <w:rFonts w:cs="Arial"/>
          <w:b w:val="0"/>
          <w:bCs w:val="0"/>
          <w:szCs w:val="22"/>
          <w:lang w:val="es-ES_tradnl"/>
        </w:rPr>
      </w:pPr>
      <w:r w:rsidRPr="00496C41">
        <w:rPr>
          <w:rFonts w:cs="Arial"/>
          <w:b w:val="0"/>
          <w:bCs w:val="0"/>
          <w:szCs w:val="22"/>
          <w:lang w:val="es-ES_tradnl"/>
        </w:rPr>
        <w:t xml:space="preserve">Las </w:t>
      </w:r>
      <w:r w:rsidRPr="00496C41">
        <w:rPr>
          <w:rFonts w:cs="Arial"/>
          <w:b w:val="0"/>
          <w:bCs w:val="0"/>
          <w:szCs w:val="22"/>
          <w:lang w:val="es-ES_tradnl" w:eastAsia="zh-CN"/>
        </w:rPr>
        <w:t>faltas de conformidad siguientes deben clasificarse como mayores (FC1):</w:t>
      </w:r>
    </w:p>
    <w:p w:rsidR="003D3BF8" w:rsidRPr="00496C41" w:rsidRDefault="002A2422" w:rsidP="002A2422">
      <w:pPr>
        <w:numPr>
          <w:ilvl w:val="0"/>
          <w:numId w:val="9"/>
        </w:numPr>
        <w:spacing w:after="120"/>
        <w:ind w:left="547"/>
        <w:jc w:val="both"/>
        <w:rPr>
          <w:lang w:val="es-ES_tradnl"/>
        </w:rPr>
      </w:pPr>
      <w:r w:rsidRPr="00496C41">
        <w:rPr>
          <w:lang w:val="es-ES_tradnl"/>
        </w:rPr>
        <w:t>La ausencia de uno o varios de los elementos del sistema requeridos o una situación que plantee una duda importante de que las actividades cumplan los requisitos especificados;</w:t>
      </w:r>
    </w:p>
    <w:p w:rsidR="003D3BF8" w:rsidRPr="00496C41" w:rsidRDefault="001120EE" w:rsidP="002A2422">
      <w:pPr>
        <w:numPr>
          <w:ilvl w:val="0"/>
          <w:numId w:val="9"/>
        </w:numPr>
        <w:spacing w:after="120"/>
        <w:ind w:left="547"/>
        <w:jc w:val="both"/>
        <w:rPr>
          <w:lang w:val="es-ES_tradnl"/>
        </w:rPr>
      </w:pPr>
      <w:r w:rsidRPr="00496C41">
        <w:rPr>
          <w:lang w:val="es-ES_tradnl"/>
        </w:rPr>
        <w:t xml:space="preserve">Un grupo de faltas de conformidad de la categoría 2 que indiquen la ejecución impropia o la </w:t>
      </w:r>
      <w:r w:rsidR="00496C41" w:rsidRPr="00496C41">
        <w:rPr>
          <w:lang w:val="es-ES_tradnl"/>
        </w:rPr>
        <w:t xml:space="preserve">falta de </w:t>
      </w:r>
      <w:r w:rsidRPr="00496C41">
        <w:rPr>
          <w:lang w:val="es-ES_tradnl"/>
        </w:rPr>
        <w:t>eficacia del sistema con respecto a uno de los requisitos del GAPIII;</w:t>
      </w:r>
    </w:p>
    <w:p w:rsidR="003D3BF8" w:rsidRPr="00496C41" w:rsidRDefault="001120EE" w:rsidP="002A2422">
      <w:pPr>
        <w:numPr>
          <w:ilvl w:val="0"/>
          <w:numId w:val="9"/>
        </w:numPr>
        <w:spacing w:after="120"/>
        <w:ind w:left="547"/>
        <w:jc w:val="both"/>
        <w:rPr>
          <w:lang w:val="es-ES_tradnl"/>
        </w:rPr>
      </w:pPr>
      <w:r w:rsidRPr="00496C41">
        <w:rPr>
          <w:lang w:val="es-ES_tradnl"/>
        </w:rPr>
        <w:t xml:space="preserve">Una falta de conformidad de la categoría 2 persistente (o </w:t>
      </w:r>
      <w:r w:rsidR="002A2422" w:rsidRPr="00496C41">
        <w:rPr>
          <w:lang w:val="es-ES_tradnl"/>
        </w:rPr>
        <w:t xml:space="preserve">que </w:t>
      </w:r>
      <w:r w:rsidRPr="00496C41">
        <w:rPr>
          <w:lang w:val="es-ES_tradnl"/>
        </w:rPr>
        <w:t xml:space="preserve">no ha sido corregida según lo acordado por el establecimiento); </w:t>
      </w:r>
    </w:p>
    <w:p w:rsidR="003D3BF8" w:rsidRPr="00496C41" w:rsidRDefault="001120EE" w:rsidP="002A2422">
      <w:pPr>
        <w:numPr>
          <w:ilvl w:val="0"/>
          <w:numId w:val="9"/>
        </w:numPr>
        <w:spacing w:after="120"/>
        <w:ind w:left="547"/>
        <w:jc w:val="both"/>
        <w:rPr>
          <w:lang w:val="es-ES_tradnl"/>
        </w:rPr>
      </w:pPr>
      <w:r w:rsidRPr="00496C41">
        <w:rPr>
          <w:lang w:val="es-ES_tradnl"/>
        </w:rPr>
        <w:t xml:space="preserve">Una situación que, según los datos objetivos reunidos, pueda ocasionar directamente un riesgo inadmisible de incumplimiento de las medidas de confinamiento descritas en el GAPIII. </w:t>
      </w:r>
    </w:p>
    <w:p w:rsidR="00260C85" w:rsidRPr="00496C41" w:rsidRDefault="00260C85" w:rsidP="00B47C7E">
      <w:pPr>
        <w:jc w:val="both"/>
        <w:rPr>
          <w:rFonts w:cs="Arial"/>
          <w:lang w:val="es-ES_tradnl"/>
        </w:rPr>
      </w:pPr>
    </w:p>
    <w:p w:rsidR="00D41E5E" w:rsidRPr="00496C41" w:rsidRDefault="001120EE" w:rsidP="002A2422">
      <w:pPr>
        <w:pStyle w:val="Subtitle"/>
        <w:spacing w:after="120"/>
        <w:jc w:val="both"/>
        <w:rPr>
          <w:rFonts w:cs="Arial"/>
          <w:szCs w:val="22"/>
          <w:lang w:val="es-ES_tradnl"/>
        </w:rPr>
      </w:pPr>
      <w:r w:rsidRPr="00496C41">
        <w:rPr>
          <w:rFonts w:cs="Arial"/>
          <w:szCs w:val="22"/>
          <w:lang w:val="es-ES_tradnl"/>
        </w:rPr>
        <w:t>M</w:t>
      </w:r>
      <w:r w:rsidR="00496C41" w:rsidRPr="00496C41">
        <w:rPr>
          <w:rFonts w:cs="Arial"/>
          <w:szCs w:val="22"/>
          <w:lang w:val="es-ES_tradnl"/>
        </w:rPr>
        <w:t>enores (categoría 2)</w:t>
      </w:r>
    </w:p>
    <w:p w:rsidR="00260C85" w:rsidRPr="00496C41" w:rsidRDefault="001120EE" w:rsidP="00B47C7E">
      <w:pPr>
        <w:jc w:val="both"/>
        <w:rPr>
          <w:lang w:val="es-ES_tradnl" w:eastAsia="nb-NO"/>
        </w:rPr>
      </w:pPr>
      <w:r w:rsidRPr="00496C41">
        <w:rPr>
          <w:lang w:val="es-ES_tradnl" w:eastAsia="nb-NO"/>
        </w:rPr>
        <w:t>Una falta de conformidad se debe clasificar como menor (FC2) cuando el establecimiento ha</w:t>
      </w:r>
      <w:r w:rsidR="00496C41" w:rsidRPr="00496C41">
        <w:rPr>
          <w:lang w:val="es-ES_tradnl" w:eastAsia="nb-NO"/>
        </w:rPr>
        <w:t>ya</w:t>
      </w:r>
      <w:r w:rsidRPr="00496C41">
        <w:rPr>
          <w:lang w:val="es-ES_tradnl" w:eastAsia="nb-NO"/>
        </w:rPr>
        <w:t xml:space="preserve"> demostrado falta de disciplina o control </w:t>
      </w:r>
      <w:r w:rsidR="002A2422" w:rsidRPr="00496C41">
        <w:rPr>
          <w:lang w:val="es-ES_tradnl" w:eastAsia="nb-NO"/>
        </w:rPr>
        <w:t>en el cumplimiento</w:t>
      </w:r>
      <w:r w:rsidRPr="00496C41">
        <w:rPr>
          <w:lang w:val="es-ES_tradnl" w:eastAsia="nb-NO"/>
        </w:rPr>
        <w:t xml:space="preserve"> de los requisitos del sistema o de los procedimientos, </w:t>
      </w:r>
      <w:r w:rsidR="002A2422" w:rsidRPr="00496C41">
        <w:rPr>
          <w:lang w:val="es-ES_tradnl" w:eastAsia="nb-NO"/>
        </w:rPr>
        <w:t>la cual</w:t>
      </w:r>
      <w:r w:rsidRPr="00496C41">
        <w:rPr>
          <w:lang w:val="es-ES_tradnl" w:eastAsia="nb-NO"/>
        </w:rPr>
        <w:t xml:space="preserve"> no indica una avería del sistema ni plantea dudas de que los controles cumpl</w:t>
      </w:r>
      <w:r w:rsidR="002A2422" w:rsidRPr="00496C41">
        <w:rPr>
          <w:lang w:val="es-ES_tradnl" w:eastAsia="nb-NO"/>
        </w:rPr>
        <w:t>an</w:t>
      </w:r>
      <w:r w:rsidRPr="00496C41">
        <w:rPr>
          <w:lang w:val="es-ES_tradnl" w:eastAsia="nb-NO"/>
        </w:rPr>
        <w:t xml:space="preserve"> los requisitos.</w:t>
      </w:r>
      <w:r w:rsidR="00260C85" w:rsidRPr="00496C41">
        <w:rPr>
          <w:lang w:val="es-ES_tradnl" w:eastAsia="nb-NO"/>
        </w:rPr>
        <w:t xml:space="preserve"> </w:t>
      </w:r>
      <w:r w:rsidRPr="00496C41">
        <w:rPr>
          <w:lang w:val="es-ES_tradnl" w:eastAsia="nb-NO"/>
        </w:rPr>
        <w:t xml:space="preserve">En este caso, se puede concluir que, a pesar de los problemas detectados, los requisitos globales del sistema se han definido, se han </w:t>
      </w:r>
      <w:r w:rsidR="002A2422" w:rsidRPr="00496C41">
        <w:rPr>
          <w:lang w:val="es-ES_tradnl" w:eastAsia="nb-NO"/>
        </w:rPr>
        <w:t>cumplido</w:t>
      </w:r>
      <w:r w:rsidRPr="00496C41">
        <w:rPr>
          <w:lang w:val="es-ES_tradnl" w:eastAsia="nb-NO"/>
        </w:rPr>
        <w:t xml:space="preserve"> y son eficaces.</w:t>
      </w:r>
      <w:r w:rsidR="00260C85" w:rsidRPr="00496C41">
        <w:rPr>
          <w:lang w:val="es-ES_tradnl" w:eastAsia="nb-NO"/>
        </w:rPr>
        <w:t xml:space="preserve"> </w:t>
      </w:r>
    </w:p>
    <w:p w:rsidR="000866B4" w:rsidRPr="00496C41" w:rsidRDefault="000866B4" w:rsidP="00B47C7E">
      <w:pPr>
        <w:jc w:val="both"/>
        <w:rPr>
          <w:lang w:val="es-ES_tradnl"/>
        </w:rPr>
      </w:pPr>
    </w:p>
    <w:p w:rsidR="000866B4" w:rsidRPr="00496C41" w:rsidRDefault="00496C41" w:rsidP="00B47C7E">
      <w:pPr>
        <w:pStyle w:val="Subtitle"/>
        <w:jc w:val="both"/>
        <w:rPr>
          <w:rFonts w:cs="Arial"/>
          <w:szCs w:val="22"/>
          <w:lang w:val="es-ES_tradnl"/>
        </w:rPr>
      </w:pPr>
      <w:r w:rsidRPr="00496C41">
        <w:rPr>
          <w:rFonts w:cs="Arial"/>
          <w:szCs w:val="22"/>
          <w:lang w:val="es-ES_tradnl"/>
        </w:rPr>
        <w:t>Esfuerzos notables</w:t>
      </w:r>
    </w:p>
    <w:p w:rsidR="00260C85" w:rsidRPr="00496C41" w:rsidRDefault="00260C85" w:rsidP="00B47C7E">
      <w:pPr>
        <w:pStyle w:val="Subtitle"/>
        <w:jc w:val="both"/>
        <w:rPr>
          <w:szCs w:val="22"/>
          <w:lang w:val="es-ES_tradnl"/>
        </w:rPr>
      </w:pPr>
    </w:p>
    <w:p w:rsidR="000866B4" w:rsidRPr="00496C41" w:rsidRDefault="001120EE" w:rsidP="00B47C7E">
      <w:pPr>
        <w:jc w:val="both"/>
        <w:rPr>
          <w:lang w:val="es-ES_tradnl"/>
        </w:rPr>
      </w:pPr>
      <w:r w:rsidRPr="00496C41">
        <w:rPr>
          <w:lang w:val="es-ES_tradnl"/>
        </w:rPr>
        <w:t>Los esfuerzos notables se describen como:</w:t>
      </w:r>
    </w:p>
    <w:p w:rsidR="000866B4" w:rsidRPr="00496C41" w:rsidRDefault="000866B4" w:rsidP="00B47C7E">
      <w:pPr>
        <w:jc w:val="both"/>
        <w:rPr>
          <w:lang w:val="es-ES_tradnl"/>
        </w:rPr>
      </w:pPr>
    </w:p>
    <w:p w:rsidR="000866B4" w:rsidRPr="00496C41" w:rsidRDefault="001120EE" w:rsidP="00B47C7E">
      <w:pPr>
        <w:numPr>
          <w:ilvl w:val="0"/>
          <w:numId w:val="9"/>
        </w:numPr>
        <w:ind w:left="547"/>
        <w:jc w:val="both"/>
        <w:rPr>
          <w:lang w:val="es-ES_tradnl"/>
        </w:rPr>
      </w:pPr>
      <w:r w:rsidRPr="00496C41">
        <w:rPr>
          <w:lang w:val="es-ES_tradnl"/>
        </w:rPr>
        <w:t>La adopción de las mejores prácticas</w:t>
      </w:r>
    </w:p>
    <w:p w:rsidR="000866B4" w:rsidRPr="00496C41" w:rsidRDefault="001120EE" w:rsidP="00B47C7E">
      <w:pPr>
        <w:numPr>
          <w:ilvl w:val="0"/>
          <w:numId w:val="9"/>
        </w:numPr>
        <w:ind w:left="547"/>
        <w:jc w:val="both"/>
        <w:rPr>
          <w:lang w:val="es-ES_tradnl"/>
        </w:rPr>
      </w:pPr>
      <w:r w:rsidRPr="00496C41">
        <w:rPr>
          <w:lang w:val="es-ES_tradnl"/>
        </w:rPr>
        <w:t>Una mejora demostrada</w:t>
      </w:r>
    </w:p>
    <w:p w:rsidR="000866B4" w:rsidRPr="00496C41" w:rsidRDefault="001120EE" w:rsidP="00B47C7E">
      <w:pPr>
        <w:numPr>
          <w:ilvl w:val="0"/>
          <w:numId w:val="9"/>
        </w:numPr>
        <w:ind w:left="547"/>
        <w:jc w:val="both"/>
        <w:rPr>
          <w:lang w:val="es-ES_tradnl"/>
        </w:rPr>
      </w:pPr>
      <w:r w:rsidRPr="00496C41">
        <w:rPr>
          <w:lang w:val="es-ES_tradnl"/>
        </w:rPr>
        <w:t>Un alto grado de compromiso</w:t>
      </w:r>
    </w:p>
    <w:p w:rsidR="000866B4" w:rsidRPr="00496C41" w:rsidRDefault="001120EE" w:rsidP="00B47C7E">
      <w:pPr>
        <w:numPr>
          <w:ilvl w:val="0"/>
          <w:numId w:val="9"/>
        </w:numPr>
        <w:ind w:left="547"/>
        <w:jc w:val="both"/>
        <w:rPr>
          <w:lang w:val="es-ES_tradnl"/>
        </w:rPr>
      </w:pPr>
      <w:r w:rsidRPr="00496C41">
        <w:rPr>
          <w:lang w:val="es-ES_tradnl"/>
        </w:rPr>
        <w:t>Motivación</w:t>
      </w:r>
    </w:p>
    <w:p w:rsidR="000866B4" w:rsidRPr="00496C41" w:rsidRDefault="001120EE" w:rsidP="00B47C7E">
      <w:pPr>
        <w:numPr>
          <w:ilvl w:val="0"/>
          <w:numId w:val="9"/>
        </w:numPr>
        <w:ind w:left="547"/>
        <w:jc w:val="both"/>
        <w:rPr>
          <w:lang w:val="es-ES_tradnl"/>
        </w:rPr>
      </w:pPr>
      <w:r w:rsidRPr="00496C41">
        <w:rPr>
          <w:lang w:val="es-ES_tradnl"/>
        </w:rPr>
        <w:t>Optimización del sistema</w:t>
      </w:r>
      <w:r w:rsidR="00496C41" w:rsidRPr="00496C41">
        <w:rPr>
          <w:lang w:val="es-ES_tradnl"/>
        </w:rPr>
        <w:t>.</w:t>
      </w:r>
    </w:p>
    <w:p w:rsidR="000866B4" w:rsidRPr="00496C41" w:rsidRDefault="000866B4" w:rsidP="00B47C7E">
      <w:pPr>
        <w:jc w:val="both"/>
        <w:rPr>
          <w:lang w:val="es-ES_tradnl"/>
        </w:rPr>
      </w:pPr>
    </w:p>
    <w:p w:rsidR="000866B4" w:rsidRPr="00496C41" w:rsidRDefault="001120EE" w:rsidP="00B47C7E">
      <w:pPr>
        <w:jc w:val="both"/>
        <w:rPr>
          <w:lang w:val="es-ES_tradnl"/>
        </w:rPr>
      </w:pPr>
      <w:r w:rsidRPr="00496C41">
        <w:rPr>
          <w:lang w:val="es-ES_tradnl"/>
        </w:rPr>
        <w:t>Los esfuerzos notables se darán a conocer en la reunión de clausura y se mencionarán en el informe.</w:t>
      </w:r>
      <w:r w:rsidR="00B47C7E" w:rsidRPr="00496C41">
        <w:rPr>
          <w:lang w:val="es-ES_tradnl"/>
        </w:rPr>
        <w:t xml:space="preserve"> </w:t>
      </w:r>
      <w:r w:rsidRPr="00496C41">
        <w:rPr>
          <w:lang w:val="es-ES_tradnl"/>
        </w:rPr>
        <w:t>No figurarán en la lista de resultados.</w:t>
      </w:r>
    </w:p>
    <w:p w:rsidR="000866B4" w:rsidRPr="00496C41" w:rsidRDefault="000866B4" w:rsidP="00B47C7E">
      <w:pPr>
        <w:jc w:val="both"/>
        <w:rPr>
          <w:sz w:val="24"/>
          <w:szCs w:val="24"/>
          <w:lang w:val="es-ES_tradnl"/>
        </w:rPr>
      </w:pPr>
    </w:p>
    <w:p w:rsidR="00D41E5E" w:rsidRPr="00496C41" w:rsidRDefault="00496C41" w:rsidP="00B47C7E">
      <w:pPr>
        <w:pStyle w:val="Subtitle"/>
        <w:jc w:val="both"/>
        <w:rPr>
          <w:rFonts w:cs="Arial"/>
          <w:szCs w:val="22"/>
          <w:lang w:val="es-ES_tradnl"/>
        </w:rPr>
      </w:pPr>
      <w:r w:rsidRPr="00496C41">
        <w:rPr>
          <w:rFonts w:cs="Arial"/>
          <w:szCs w:val="22"/>
          <w:lang w:val="es-ES_tradnl"/>
        </w:rPr>
        <w:t>Observaciones</w:t>
      </w:r>
    </w:p>
    <w:p w:rsidR="00260C85" w:rsidRPr="00496C41" w:rsidRDefault="00260C85" w:rsidP="00B47C7E">
      <w:pPr>
        <w:pStyle w:val="Subtitle"/>
        <w:jc w:val="both"/>
        <w:rPr>
          <w:rFonts w:cs="Arial"/>
          <w:szCs w:val="22"/>
          <w:lang w:val="es-ES_tradnl"/>
        </w:rPr>
      </w:pPr>
    </w:p>
    <w:p w:rsidR="00607192" w:rsidRPr="00496C41" w:rsidRDefault="001120EE" w:rsidP="00B47C7E">
      <w:pPr>
        <w:jc w:val="both"/>
        <w:rPr>
          <w:lang w:val="es-ES_tradnl"/>
        </w:rPr>
      </w:pPr>
      <w:r w:rsidRPr="00496C41">
        <w:rPr>
          <w:lang w:val="es-ES_tradnl"/>
        </w:rPr>
        <w:t xml:space="preserve">Una observación no constituye una </w:t>
      </w:r>
      <w:r w:rsidRPr="00496C41">
        <w:rPr>
          <w:lang w:val="es-ES_tradnl" w:eastAsia="nb-NO"/>
        </w:rPr>
        <w:t xml:space="preserve">falta de conformidad sino algo que podría dar lugar a esta si no se corrige; también puede ser una situación existente con respecto a la cual no hay pruebas suficientes para verificar que constituye una falta de conformidad. </w:t>
      </w:r>
    </w:p>
    <w:p w:rsidR="00607192" w:rsidRPr="00496C41" w:rsidRDefault="00607192" w:rsidP="00B47C7E">
      <w:pPr>
        <w:jc w:val="both"/>
        <w:rPr>
          <w:lang w:val="es-ES_tradnl"/>
        </w:rPr>
      </w:pPr>
    </w:p>
    <w:p w:rsidR="006D3D95" w:rsidRPr="00496C41" w:rsidRDefault="001120EE" w:rsidP="00B47C7E">
      <w:pPr>
        <w:pStyle w:val="Subtitle"/>
        <w:jc w:val="both"/>
        <w:rPr>
          <w:rFonts w:cs="Arial"/>
          <w:szCs w:val="22"/>
          <w:lang w:val="es-ES_tradnl"/>
        </w:rPr>
      </w:pPr>
      <w:r w:rsidRPr="00496C41">
        <w:rPr>
          <w:rFonts w:cs="Arial"/>
          <w:szCs w:val="22"/>
          <w:lang w:val="es-ES_tradnl"/>
        </w:rPr>
        <w:t>Oportunidades para mejorar</w:t>
      </w:r>
    </w:p>
    <w:p w:rsidR="00260C85" w:rsidRPr="00496C41" w:rsidRDefault="00260C85" w:rsidP="00B47C7E">
      <w:pPr>
        <w:pStyle w:val="Subtitle"/>
        <w:jc w:val="both"/>
        <w:rPr>
          <w:rFonts w:cs="Arial"/>
          <w:szCs w:val="22"/>
          <w:lang w:val="es-ES_tradnl"/>
        </w:rPr>
      </w:pPr>
    </w:p>
    <w:p w:rsidR="00260C85" w:rsidRPr="00496C41" w:rsidRDefault="001120EE" w:rsidP="00B47C7E">
      <w:pPr>
        <w:jc w:val="both"/>
        <w:rPr>
          <w:lang w:val="es-ES_tradnl" w:eastAsia="nb-NO"/>
        </w:rPr>
      </w:pPr>
      <w:r w:rsidRPr="00496C41">
        <w:rPr>
          <w:lang w:val="es-ES_tradnl" w:eastAsia="nb-NO"/>
        </w:rPr>
        <w:t xml:space="preserve">Una oportunidad para mejorar designa áreas o procesos que </w:t>
      </w:r>
      <w:r w:rsidR="002A2422" w:rsidRPr="00496C41">
        <w:rPr>
          <w:lang w:val="es-ES_tradnl" w:eastAsia="nb-NO"/>
        </w:rPr>
        <w:t>tal vez</w:t>
      </w:r>
      <w:r w:rsidRPr="00496C41">
        <w:rPr>
          <w:lang w:val="es-ES_tradnl" w:eastAsia="nb-NO"/>
        </w:rPr>
        <w:t xml:space="preserve"> cumpl</w:t>
      </w:r>
      <w:r w:rsidR="002A2422" w:rsidRPr="00496C41">
        <w:rPr>
          <w:lang w:val="es-ES_tradnl" w:eastAsia="nb-NO"/>
        </w:rPr>
        <w:t>an</w:t>
      </w:r>
      <w:r w:rsidR="00A224DE">
        <w:rPr>
          <w:lang w:val="es-ES_tradnl" w:eastAsia="nb-NO"/>
        </w:rPr>
        <w:t xml:space="preserve"> los requisitos mínimos del </w:t>
      </w:r>
      <w:r w:rsidRPr="00496C41">
        <w:rPr>
          <w:lang w:val="es-ES_tradnl" w:eastAsia="nb-NO"/>
        </w:rPr>
        <w:t xml:space="preserve">GAPIII pero </w:t>
      </w:r>
      <w:r w:rsidR="00496C41" w:rsidRPr="00496C41">
        <w:rPr>
          <w:lang w:val="es-ES_tradnl" w:eastAsia="nb-NO"/>
        </w:rPr>
        <w:t xml:space="preserve">que </w:t>
      </w:r>
      <w:r w:rsidRPr="00496C41">
        <w:rPr>
          <w:lang w:val="es-ES_tradnl" w:eastAsia="nb-NO"/>
        </w:rPr>
        <w:t>podrían mejorarse.</w:t>
      </w:r>
      <w:r w:rsidR="00260C85" w:rsidRPr="00496C41">
        <w:rPr>
          <w:lang w:val="es-ES_tradnl" w:eastAsia="nb-NO"/>
        </w:rPr>
        <w:t xml:space="preserve"> </w:t>
      </w:r>
      <w:r w:rsidRPr="00496C41">
        <w:rPr>
          <w:lang w:val="es-ES_tradnl" w:eastAsia="nb-NO"/>
        </w:rPr>
        <w:t xml:space="preserve">Puede estar vinculada con el sistema o con el desempeño y de ordinario se especifica basándose en la experiencia del equipo de auditoría, el conocimiento de las mejores prácticas internacionales en otros establecimientos o en otras dependencias o departamentos del mismo establecimiento. </w:t>
      </w:r>
    </w:p>
    <w:p w:rsidR="006D3D95" w:rsidRPr="00496C41" w:rsidRDefault="006D3D95" w:rsidP="00B47C7E">
      <w:pPr>
        <w:jc w:val="both"/>
        <w:rPr>
          <w:lang w:val="es-ES_tradnl"/>
        </w:rPr>
      </w:pPr>
    </w:p>
    <w:p w:rsidR="006D3D95" w:rsidRPr="00496C41" w:rsidRDefault="006D3D95" w:rsidP="00B47C7E">
      <w:pPr>
        <w:jc w:val="both"/>
        <w:rPr>
          <w:lang w:val="es-ES_tradnl"/>
        </w:rPr>
      </w:pPr>
    </w:p>
    <w:sectPr w:rsidR="006D3D95" w:rsidRPr="00496C41" w:rsidSect="00BC1189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381" w:right="1008" w:bottom="864" w:left="1008" w:header="709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E4" w:rsidRDefault="005A21E4">
      <w:r>
        <w:separator/>
      </w:r>
    </w:p>
  </w:endnote>
  <w:endnote w:type="continuationSeparator" w:id="0">
    <w:p w:rsidR="005A21E4" w:rsidRDefault="005A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4" w:rsidRPr="00C800AA" w:rsidRDefault="005A21E4" w:rsidP="00E60AC3">
    <w:pPr>
      <w:pStyle w:val="Footer"/>
      <w:tabs>
        <w:tab w:val="clear" w:pos="4320"/>
        <w:tab w:val="clear" w:pos="8640"/>
      </w:tabs>
      <w:ind w:right="-32"/>
      <w:rPr>
        <w:sz w:val="18"/>
        <w:szCs w:val="18"/>
        <w:lang w:val="es-ES_tradnl"/>
      </w:rPr>
    </w:pPr>
    <w:r w:rsidRPr="00C800AA">
      <w:rPr>
        <w:sz w:val="18"/>
        <w:szCs w:val="18"/>
        <w:lang w:val="es-ES_tradnl"/>
      </w:rPr>
      <w:tab/>
    </w:r>
    <w:r w:rsidRPr="00C800AA">
      <w:rPr>
        <w:sz w:val="18"/>
        <w:szCs w:val="18"/>
        <w:lang w:val="es-ES_tradnl"/>
      </w:rPr>
      <w:tab/>
    </w:r>
    <w:r w:rsidRPr="00C800AA">
      <w:rPr>
        <w:sz w:val="18"/>
        <w:szCs w:val="18"/>
        <w:lang w:val="es-ES_tradnl"/>
      </w:rPr>
      <w:tab/>
    </w:r>
    <w:r w:rsidRPr="00C800AA">
      <w:rPr>
        <w:sz w:val="18"/>
        <w:szCs w:val="18"/>
        <w:lang w:val="es-ES_tradnl"/>
      </w:rPr>
      <w:tab/>
    </w:r>
    <w:r w:rsidRPr="00C800AA">
      <w:rPr>
        <w:sz w:val="18"/>
        <w:szCs w:val="18"/>
        <w:lang w:val="es-ES_tradnl"/>
      </w:rPr>
      <w:tab/>
    </w:r>
    <w:r w:rsidRPr="00C800AA">
      <w:rPr>
        <w:sz w:val="18"/>
        <w:szCs w:val="18"/>
        <w:lang w:val="es-ES_tradnl"/>
      </w:rPr>
      <w:tab/>
    </w:r>
    <w:r w:rsidRPr="00C800AA">
      <w:rPr>
        <w:sz w:val="18"/>
        <w:szCs w:val="18"/>
        <w:lang w:val="es-ES_tradnl"/>
      </w:rPr>
      <w:tab/>
    </w:r>
    <w:r w:rsidRPr="00C800AA">
      <w:rPr>
        <w:sz w:val="18"/>
        <w:szCs w:val="18"/>
        <w:lang w:val="es-ES_tradnl"/>
      </w:rPr>
      <w:tab/>
    </w:r>
    <w:r w:rsidRPr="00C800AA">
      <w:rPr>
        <w:sz w:val="18"/>
        <w:szCs w:val="18"/>
        <w:lang w:val="es-ES_tradnl"/>
      </w:rPr>
      <w:tab/>
    </w:r>
    <w:r w:rsidR="000606A0">
      <w:rPr>
        <w:sz w:val="18"/>
        <w:szCs w:val="18"/>
        <w:lang w:val="es-ES_tradnl"/>
      </w:rPr>
      <w:tab/>
    </w:r>
    <w:r w:rsidR="000606A0">
      <w:rPr>
        <w:sz w:val="18"/>
        <w:szCs w:val="18"/>
        <w:lang w:val="es-ES_tradnl"/>
      </w:rPr>
      <w:tab/>
    </w:r>
    <w:r w:rsidRPr="00C800AA">
      <w:rPr>
        <w:sz w:val="18"/>
        <w:szCs w:val="18"/>
        <w:lang w:val="es-ES_tradnl"/>
      </w:rPr>
      <w:t xml:space="preserve">      </w:t>
    </w:r>
    <w:r w:rsidR="00C800AA" w:rsidRPr="00C800AA">
      <w:rPr>
        <w:sz w:val="18"/>
        <w:szCs w:val="18"/>
        <w:lang w:val="es-ES_tradnl"/>
      </w:rPr>
      <w:t xml:space="preserve"> </w:t>
    </w:r>
    <w:r w:rsidRPr="00C800AA">
      <w:rPr>
        <w:sz w:val="18"/>
        <w:szCs w:val="18"/>
        <w:lang w:val="es-ES_tradnl"/>
      </w:rPr>
      <w:t xml:space="preserve">  </w:t>
    </w:r>
    <w:r w:rsidR="00C800AA" w:rsidRPr="00C800AA">
      <w:rPr>
        <w:sz w:val="18"/>
        <w:szCs w:val="18"/>
        <w:lang w:val="es-ES_tradnl"/>
      </w:rPr>
      <w:t>Página</w:t>
    </w:r>
    <w:r w:rsidRPr="00C800AA">
      <w:rPr>
        <w:sz w:val="18"/>
        <w:szCs w:val="18"/>
        <w:lang w:val="es-ES_tradnl"/>
      </w:rPr>
      <w:t xml:space="preserve"> </w:t>
    </w:r>
    <w:r w:rsidRPr="00C800AA">
      <w:rPr>
        <w:b/>
        <w:bCs/>
        <w:sz w:val="18"/>
        <w:szCs w:val="18"/>
        <w:lang w:val="es-ES_tradnl"/>
      </w:rPr>
      <w:fldChar w:fldCharType="begin"/>
    </w:r>
    <w:r w:rsidRPr="00C800AA">
      <w:rPr>
        <w:b/>
        <w:bCs/>
        <w:sz w:val="18"/>
        <w:szCs w:val="18"/>
        <w:lang w:val="es-ES_tradnl"/>
      </w:rPr>
      <w:instrText xml:space="preserve"> PAGE </w:instrText>
    </w:r>
    <w:r w:rsidRPr="00C800AA">
      <w:rPr>
        <w:b/>
        <w:bCs/>
        <w:sz w:val="18"/>
        <w:szCs w:val="18"/>
        <w:lang w:val="es-ES_tradnl"/>
      </w:rPr>
      <w:fldChar w:fldCharType="separate"/>
    </w:r>
    <w:r w:rsidR="005436DF">
      <w:rPr>
        <w:b/>
        <w:bCs/>
        <w:noProof/>
        <w:sz w:val="18"/>
        <w:szCs w:val="18"/>
        <w:lang w:val="es-ES_tradnl"/>
      </w:rPr>
      <w:t>5</w:t>
    </w:r>
    <w:r w:rsidRPr="00C800AA">
      <w:rPr>
        <w:b/>
        <w:bCs/>
        <w:sz w:val="18"/>
        <w:szCs w:val="18"/>
        <w:lang w:val="es-ES_tradnl"/>
      </w:rPr>
      <w:fldChar w:fldCharType="end"/>
    </w:r>
    <w:r w:rsidRPr="00C800AA">
      <w:rPr>
        <w:sz w:val="18"/>
        <w:szCs w:val="18"/>
        <w:lang w:val="es-ES_tradnl"/>
      </w:rPr>
      <w:t xml:space="preserve"> </w:t>
    </w:r>
    <w:r w:rsidR="00C800AA" w:rsidRPr="00C800AA">
      <w:rPr>
        <w:sz w:val="18"/>
        <w:szCs w:val="18"/>
        <w:lang w:val="es-ES_tradnl"/>
      </w:rPr>
      <w:t>de</w:t>
    </w:r>
    <w:r w:rsidRPr="00C800AA">
      <w:rPr>
        <w:sz w:val="18"/>
        <w:szCs w:val="18"/>
        <w:lang w:val="es-ES_tradnl"/>
      </w:rPr>
      <w:t xml:space="preserve"> </w:t>
    </w:r>
    <w:r w:rsidRPr="00C800AA">
      <w:rPr>
        <w:b/>
        <w:bCs/>
        <w:sz w:val="18"/>
        <w:szCs w:val="18"/>
        <w:lang w:val="es-ES_tradnl"/>
      </w:rPr>
      <w:fldChar w:fldCharType="begin"/>
    </w:r>
    <w:r w:rsidRPr="00C800AA">
      <w:rPr>
        <w:b/>
        <w:bCs/>
        <w:sz w:val="18"/>
        <w:szCs w:val="18"/>
        <w:lang w:val="es-ES_tradnl"/>
      </w:rPr>
      <w:instrText xml:space="preserve"> NUMPAGES  </w:instrText>
    </w:r>
    <w:r w:rsidRPr="00C800AA">
      <w:rPr>
        <w:b/>
        <w:bCs/>
        <w:sz w:val="18"/>
        <w:szCs w:val="18"/>
        <w:lang w:val="es-ES_tradnl"/>
      </w:rPr>
      <w:fldChar w:fldCharType="separate"/>
    </w:r>
    <w:r w:rsidR="005436DF">
      <w:rPr>
        <w:b/>
        <w:bCs/>
        <w:noProof/>
        <w:sz w:val="18"/>
        <w:szCs w:val="18"/>
        <w:lang w:val="es-ES_tradnl"/>
      </w:rPr>
      <w:t>5</w:t>
    </w:r>
    <w:r w:rsidRPr="00C800AA">
      <w:rPr>
        <w:b/>
        <w:bCs/>
        <w:sz w:val="18"/>
        <w:szCs w:val="18"/>
        <w:lang w:val="es-ES_tradnl"/>
      </w:rPr>
      <w:fldChar w:fldCharType="end"/>
    </w:r>
  </w:p>
  <w:p w:rsidR="005A21E4" w:rsidRPr="00C800AA" w:rsidRDefault="005A21E4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4" w:rsidRPr="00607192" w:rsidRDefault="005A21E4" w:rsidP="00607192">
    <w:pPr>
      <w:pStyle w:val="Footer"/>
      <w:ind w:right="54"/>
      <w:rPr>
        <w:sz w:val="14"/>
        <w:szCs w:val="14"/>
      </w:rPr>
    </w:pPr>
    <w:r>
      <w:rPr>
        <w:sz w:val="14"/>
        <w:szCs w:val="14"/>
      </w:rPr>
      <w:t>Confidential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607192">
      <w:rPr>
        <w:sz w:val="14"/>
        <w:szCs w:val="14"/>
      </w:rPr>
      <w:t xml:space="preserve">Page </w:t>
    </w:r>
    <w:r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PAGE </w:instrText>
    </w:r>
    <w:r w:rsidRPr="00607192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1</w:t>
    </w:r>
    <w:r w:rsidRPr="00607192">
      <w:rPr>
        <w:b/>
        <w:bCs/>
        <w:sz w:val="14"/>
        <w:szCs w:val="14"/>
      </w:rPr>
      <w:fldChar w:fldCharType="end"/>
    </w:r>
    <w:r w:rsidRPr="00607192">
      <w:rPr>
        <w:sz w:val="14"/>
        <w:szCs w:val="14"/>
      </w:rPr>
      <w:t xml:space="preserve"> of </w:t>
    </w:r>
    <w:r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NUMPAGES  </w:instrText>
    </w:r>
    <w:r w:rsidRPr="00607192">
      <w:rPr>
        <w:b/>
        <w:bCs/>
        <w:sz w:val="14"/>
        <w:szCs w:val="14"/>
      </w:rPr>
      <w:fldChar w:fldCharType="separate"/>
    </w:r>
    <w:r w:rsidR="00BC1189">
      <w:rPr>
        <w:b/>
        <w:bCs/>
        <w:noProof/>
        <w:sz w:val="14"/>
        <w:szCs w:val="14"/>
      </w:rPr>
      <w:t>6</w:t>
    </w:r>
    <w:r w:rsidRPr="006071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E4" w:rsidRDefault="005A21E4">
      <w:r>
        <w:separator/>
      </w:r>
    </w:p>
  </w:footnote>
  <w:footnote w:type="continuationSeparator" w:id="0">
    <w:p w:rsidR="005A21E4" w:rsidRDefault="005A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4" w:rsidRDefault="005436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6" o:spid="_x0000_s2061" type="#_x0000_t136" style="position:absolute;margin-left:0;margin-top:0;width:560.55pt;height:160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4" w:rsidRPr="005436DF" w:rsidRDefault="005436DF" w:rsidP="005436D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3550423</wp:posOffset>
          </wp:positionH>
          <wp:positionV relativeFrom="paragraph">
            <wp:posOffset>-116729</wp:posOffset>
          </wp:positionV>
          <wp:extent cx="3122295" cy="336550"/>
          <wp:effectExtent l="0" t="0" r="1905" b="6350"/>
          <wp:wrapNone/>
          <wp:docPr id="1" name="Picture 1" descr="\\WIMS.who.int\HQ\GVA11\Home\HSINGH\Desktop\CCS Everything\CCS Final\Logos\GAPIII-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WIMS.who.int\HQ\GVA11\Home\HSINGH\Desktop\CCS Everything\CCS Final\Logos\GAPIII-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4" w:rsidRDefault="005436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5" o:spid="_x0000_s2060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5680">
          <v:imagedata r:id="rId1" o:title=""/>
        </v:shape>
        <o:OLEObject Type="Embed" ProgID="StaticMetafile" ShapeID="_x0000_s2058" DrawAspect="Content" ObjectID="_154985524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7B2"/>
    <w:multiLevelType w:val="hybridMultilevel"/>
    <w:tmpl w:val="BFEA289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9266F"/>
    <w:multiLevelType w:val="hybridMultilevel"/>
    <w:tmpl w:val="6D5E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3FB"/>
    <w:multiLevelType w:val="hybridMultilevel"/>
    <w:tmpl w:val="AA70F63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2148C4"/>
    <w:multiLevelType w:val="hybridMultilevel"/>
    <w:tmpl w:val="8342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BC3A2A"/>
    <w:multiLevelType w:val="hybridMultilevel"/>
    <w:tmpl w:val="1F5C68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93794"/>
    <w:multiLevelType w:val="hybridMultilevel"/>
    <w:tmpl w:val="AB9AE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9463E"/>
    <w:multiLevelType w:val="hybridMultilevel"/>
    <w:tmpl w:val="177429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81E88"/>
    <w:multiLevelType w:val="hybridMultilevel"/>
    <w:tmpl w:val="D980AE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27613"/>
    <w:rsid w:val="0003162E"/>
    <w:rsid w:val="0003178E"/>
    <w:rsid w:val="00032882"/>
    <w:rsid w:val="00034458"/>
    <w:rsid w:val="00034EF4"/>
    <w:rsid w:val="000355E7"/>
    <w:rsid w:val="000367F7"/>
    <w:rsid w:val="0004135A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06A0"/>
    <w:rsid w:val="00061484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866B4"/>
    <w:rsid w:val="000903CA"/>
    <w:rsid w:val="00090B67"/>
    <w:rsid w:val="000924F2"/>
    <w:rsid w:val="00094944"/>
    <w:rsid w:val="0009569A"/>
    <w:rsid w:val="00097D78"/>
    <w:rsid w:val="00097F6F"/>
    <w:rsid w:val="000A07CF"/>
    <w:rsid w:val="000A1A1E"/>
    <w:rsid w:val="000A23FF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0EE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661D4"/>
    <w:rsid w:val="001721A7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63A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64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0C85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77771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422"/>
    <w:rsid w:val="002A2558"/>
    <w:rsid w:val="002A2A97"/>
    <w:rsid w:val="002A3248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2C3D"/>
    <w:rsid w:val="002C6CBC"/>
    <w:rsid w:val="002C705A"/>
    <w:rsid w:val="002C7959"/>
    <w:rsid w:val="002D0447"/>
    <w:rsid w:val="002D1467"/>
    <w:rsid w:val="002D14CA"/>
    <w:rsid w:val="002D1576"/>
    <w:rsid w:val="002D219D"/>
    <w:rsid w:val="002D2417"/>
    <w:rsid w:val="002D4C37"/>
    <w:rsid w:val="002D51A1"/>
    <w:rsid w:val="002E0852"/>
    <w:rsid w:val="002E2E3B"/>
    <w:rsid w:val="002E3DA9"/>
    <w:rsid w:val="002E5407"/>
    <w:rsid w:val="002E565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4AF4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3BF8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0BC3"/>
    <w:rsid w:val="003F35C4"/>
    <w:rsid w:val="003F61BB"/>
    <w:rsid w:val="003F6308"/>
    <w:rsid w:val="003F759D"/>
    <w:rsid w:val="00400968"/>
    <w:rsid w:val="0040157F"/>
    <w:rsid w:val="004026F1"/>
    <w:rsid w:val="00402A9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6C72"/>
    <w:rsid w:val="00427D7E"/>
    <w:rsid w:val="004307E9"/>
    <w:rsid w:val="00430991"/>
    <w:rsid w:val="0043104D"/>
    <w:rsid w:val="00432F95"/>
    <w:rsid w:val="0043437D"/>
    <w:rsid w:val="004407FF"/>
    <w:rsid w:val="00441782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1A01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6C41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24E3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50B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0895"/>
    <w:rsid w:val="004F1821"/>
    <w:rsid w:val="004F39FC"/>
    <w:rsid w:val="004F4100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414D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6DF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1E4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218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2642"/>
    <w:rsid w:val="005E3432"/>
    <w:rsid w:val="005E3759"/>
    <w:rsid w:val="005E4345"/>
    <w:rsid w:val="005E5471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37C9"/>
    <w:rsid w:val="00604376"/>
    <w:rsid w:val="006045C6"/>
    <w:rsid w:val="00606850"/>
    <w:rsid w:val="00607192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2BE8"/>
    <w:rsid w:val="00623E47"/>
    <w:rsid w:val="00623FF5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6193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0674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1610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3D95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51AC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424F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8D4"/>
    <w:rsid w:val="007B4A12"/>
    <w:rsid w:val="007B5BE9"/>
    <w:rsid w:val="007B655D"/>
    <w:rsid w:val="007C0EF8"/>
    <w:rsid w:val="007C0F97"/>
    <w:rsid w:val="007C1392"/>
    <w:rsid w:val="007C191F"/>
    <w:rsid w:val="007C208A"/>
    <w:rsid w:val="007C21C0"/>
    <w:rsid w:val="007C28C9"/>
    <w:rsid w:val="007C4315"/>
    <w:rsid w:val="007C4E07"/>
    <w:rsid w:val="007C5282"/>
    <w:rsid w:val="007C66A0"/>
    <w:rsid w:val="007C6DFE"/>
    <w:rsid w:val="007D3FAF"/>
    <w:rsid w:val="007D58F3"/>
    <w:rsid w:val="007D59A5"/>
    <w:rsid w:val="007D786B"/>
    <w:rsid w:val="007D7A8E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95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4441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17FA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4EB5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EFD"/>
    <w:rsid w:val="00943F8C"/>
    <w:rsid w:val="00944424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4C4"/>
    <w:rsid w:val="009828EE"/>
    <w:rsid w:val="009831CB"/>
    <w:rsid w:val="009845DC"/>
    <w:rsid w:val="00985140"/>
    <w:rsid w:val="00986054"/>
    <w:rsid w:val="00986453"/>
    <w:rsid w:val="00986EE1"/>
    <w:rsid w:val="00991237"/>
    <w:rsid w:val="009921BF"/>
    <w:rsid w:val="00992A82"/>
    <w:rsid w:val="0099391A"/>
    <w:rsid w:val="00993E15"/>
    <w:rsid w:val="00995896"/>
    <w:rsid w:val="00995CB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D2D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24DE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6A02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95B"/>
    <w:rsid w:val="00B06CD3"/>
    <w:rsid w:val="00B07116"/>
    <w:rsid w:val="00B100E3"/>
    <w:rsid w:val="00B13B2F"/>
    <w:rsid w:val="00B15075"/>
    <w:rsid w:val="00B15DC7"/>
    <w:rsid w:val="00B1771F"/>
    <w:rsid w:val="00B17CFB"/>
    <w:rsid w:val="00B211D8"/>
    <w:rsid w:val="00B21DDC"/>
    <w:rsid w:val="00B223BA"/>
    <w:rsid w:val="00B22779"/>
    <w:rsid w:val="00B22781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386"/>
    <w:rsid w:val="00B40529"/>
    <w:rsid w:val="00B41DE2"/>
    <w:rsid w:val="00B42863"/>
    <w:rsid w:val="00B44005"/>
    <w:rsid w:val="00B44792"/>
    <w:rsid w:val="00B459B2"/>
    <w:rsid w:val="00B45CB5"/>
    <w:rsid w:val="00B46514"/>
    <w:rsid w:val="00B47C7E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340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4FA5"/>
    <w:rsid w:val="00B965A9"/>
    <w:rsid w:val="00B970AC"/>
    <w:rsid w:val="00B97E7E"/>
    <w:rsid w:val="00BA1558"/>
    <w:rsid w:val="00BA220C"/>
    <w:rsid w:val="00BA2EE7"/>
    <w:rsid w:val="00BA4B82"/>
    <w:rsid w:val="00BA5C4E"/>
    <w:rsid w:val="00BA6ACD"/>
    <w:rsid w:val="00BA768E"/>
    <w:rsid w:val="00BB01EE"/>
    <w:rsid w:val="00BB0549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1189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590E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00AA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24DC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B8C"/>
    <w:rsid w:val="00CD3C6E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451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1EE4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E5E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503F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745F6"/>
    <w:rsid w:val="00D8494D"/>
    <w:rsid w:val="00D84B5A"/>
    <w:rsid w:val="00D93FBF"/>
    <w:rsid w:val="00D94692"/>
    <w:rsid w:val="00D96C60"/>
    <w:rsid w:val="00D96F1F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D5F8A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12BA"/>
    <w:rsid w:val="00E037A2"/>
    <w:rsid w:val="00E03D1C"/>
    <w:rsid w:val="00E05392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3758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923"/>
    <w:rsid w:val="00E573E5"/>
    <w:rsid w:val="00E5781D"/>
    <w:rsid w:val="00E5790A"/>
    <w:rsid w:val="00E579AF"/>
    <w:rsid w:val="00E60AC3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395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68B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7B7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86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147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1C55"/>
    <w:rsid w:val="00F84712"/>
    <w:rsid w:val="00F861B9"/>
    <w:rsid w:val="00F87212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7B0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customStyle="1" w:styleId="DNVbullet1">
    <w:name w:val="DNV_bullet1"/>
    <w:basedOn w:val="Normal"/>
    <w:rsid w:val="00CD3C6E"/>
    <w:pPr>
      <w:tabs>
        <w:tab w:val="num" w:pos="720"/>
      </w:tabs>
      <w:spacing w:before="360"/>
      <w:ind w:left="360"/>
    </w:pPr>
    <w:rPr>
      <w:rFonts w:ascii="Verdana" w:eastAsia="PMingLiU" w:hAnsi="Verdana"/>
      <w:b/>
      <w:bCs/>
      <w:color w:val="000080"/>
      <w:sz w:val="24"/>
      <w:szCs w:val="24"/>
      <w:lang w:val="en-GB" w:eastAsia="zh-TW"/>
    </w:rPr>
  </w:style>
  <w:style w:type="paragraph" w:customStyle="1" w:styleId="DNVTextTable">
    <w:name w:val="DNVTextTable"/>
    <w:basedOn w:val="Normal"/>
    <w:rsid w:val="00CD3C6E"/>
    <w:pPr>
      <w:spacing w:before="40" w:after="40" w:line="280" w:lineRule="exact"/>
      <w:ind w:left="567" w:right="567"/>
      <w:jc w:val="both"/>
    </w:pPr>
    <w:rPr>
      <w:rFonts w:ascii="Verdana" w:eastAsia="PMingLiU" w:hAnsi="Verdana"/>
      <w:bCs/>
      <w:i/>
      <w:iCs/>
      <w:sz w:val="20"/>
      <w:szCs w:val="24"/>
      <w:lang w:val="en-GB" w:eastAsia="zh-TW"/>
    </w:rPr>
  </w:style>
  <w:style w:type="paragraph" w:customStyle="1" w:styleId="DNVBld11pt">
    <w:name w:val="DNV_Bld11pt"/>
    <w:rsid w:val="00CD3C6E"/>
    <w:rPr>
      <w:rFonts w:ascii="Verdana" w:eastAsia="PMingLiU" w:hAnsi="Verdana"/>
      <w:b/>
      <w:noProof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styleId="CommentReference">
    <w:name w:val="annotation reference"/>
    <w:basedOn w:val="DefaultParagraphFont"/>
    <w:rsid w:val="000A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3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A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3FF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customStyle="1" w:styleId="DNVbullet1">
    <w:name w:val="DNV_bullet1"/>
    <w:basedOn w:val="Normal"/>
    <w:rsid w:val="00CD3C6E"/>
    <w:pPr>
      <w:tabs>
        <w:tab w:val="num" w:pos="720"/>
      </w:tabs>
      <w:spacing w:before="360"/>
      <w:ind w:left="360"/>
    </w:pPr>
    <w:rPr>
      <w:rFonts w:ascii="Verdana" w:eastAsia="PMingLiU" w:hAnsi="Verdana"/>
      <w:b/>
      <w:bCs/>
      <w:color w:val="000080"/>
      <w:sz w:val="24"/>
      <w:szCs w:val="24"/>
      <w:lang w:val="en-GB" w:eastAsia="zh-TW"/>
    </w:rPr>
  </w:style>
  <w:style w:type="paragraph" w:customStyle="1" w:styleId="DNVTextTable">
    <w:name w:val="DNVTextTable"/>
    <w:basedOn w:val="Normal"/>
    <w:rsid w:val="00CD3C6E"/>
    <w:pPr>
      <w:spacing w:before="40" w:after="40" w:line="280" w:lineRule="exact"/>
      <w:ind w:left="567" w:right="567"/>
      <w:jc w:val="both"/>
    </w:pPr>
    <w:rPr>
      <w:rFonts w:ascii="Verdana" w:eastAsia="PMingLiU" w:hAnsi="Verdana"/>
      <w:bCs/>
      <w:i/>
      <w:iCs/>
      <w:sz w:val="20"/>
      <w:szCs w:val="24"/>
      <w:lang w:val="en-GB" w:eastAsia="zh-TW"/>
    </w:rPr>
  </w:style>
  <w:style w:type="paragraph" w:customStyle="1" w:styleId="DNVBld11pt">
    <w:name w:val="DNV_Bld11pt"/>
    <w:rsid w:val="00CD3C6E"/>
    <w:rPr>
      <w:rFonts w:ascii="Verdana" w:eastAsia="PMingLiU" w:hAnsi="Verdana"/>
      <w:b/>
      <w:noProof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styleId="CommentReference">
    <w:name w:val="annotation reference"/>
    <w:basedOn w:val="DefaultParagraphFont"/>
    <w:rsid w:val="000A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3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A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3FF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polioeradication.org/polio-today/preparing-for-a-polio-free-world/containment/containment-resour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90A1F-D46C-4FF0-BD12-8B4529BB044F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e4f1168d-fefe-4af1-8f81-938cd654b11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9AC50A8-CE9C-4591-AC39-AF495921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4</cp:revision>
  <cp:lastPrinted>2017-01-12T23:07:00Z</cp:lastPrinted>
  <dcterms:created xsi:type="dcterms:W3CDTF">2017-02-10T10:54:00Z</dcterms:created>
  <dcterms:modified xsi:type="dcterms:W3CDTF">2017-03-01T05:34:00Z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