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CD3C6E" w:rsidRDefault="00607CC8" w:rsidP="00607CC8">
      <w:pPr>
        <w:pStyle w:val="Subtitle"/>
        <w:rPr>
          <w:rFonts w:cs="Arial"/>
          <w:caps/>
          <w:sz w:val="28"/>
          <w:szCs w:val="22"/>
        </w:rPr>
      </w:pPr>
      <w:r>
        <w:rPr>
          <w:caps/>
          <w:sz w:val="28"/>
        </w:rPr>
        <w:t>СЕРТИФИКАЦИЯ контейнмента в рамках</w:t>
      </w:r>
      <w:r>
        <w:t xml:space="preserve"> </w:t>
      </w:r>
      <w:r>
        <w:rPr>
          <w:caps/>
          <w:sz w:val="28"/>
        </w:rPr>
        <w:t>ГПД-III</w:t>
      </w:r>
      <w:r>
        <w:rPr>
          <w:b w:val="0"/>
          <w:sz w:val="28"/>
        </w:rPr>
        <w:t xml:space="preserve"> </w:t>
      </w:r>
      <w:r>
        <w:rPr>
          <w:caps/>
          <w:sz w:val="28"/>
        </w:rPr>
        <w:t xml:space="preserve"> </w:t>
      </w:r>
    </w:p>
    <w:p w:rsidR="002C7959" w:rsidRPr="00CD3C6E" w:rsidRDefault="00F117B7" w:rsidP="005B7218">
      <w:pPr>
        <w:pStyle w:val="Subtitle"/>
        <w:rPr>
          <w:rFonts w:cs="Arial"/>
          <w:caps/>
          <w:sz w:val="28"/>
          <w:szCs w:val="22"/>
        </w:rPr>
      </w:pPr>
      <w:r>
        <w:rPr>
          <w:caps/>
          <w:sz w:val="28"/>
        </w:rPr>
        <w:t>ШАБЛОН АУДИТОРСКОГО ЗАКЛЮЧЕНИЯ</w:t>
      </w:r>
    </w:p>
    <w:p w:rsidR="007D7A8E" w:rsidRDefault="007D7A8E" w:rsidP="006F0A85">
      <w:pPr>
        <w:pStyle w:val="Subtitle"/>
        <w:rPr>
          <w:rFonts w:cs="Arial"/>
          <w:caps/>
          <w:szCs w:val="22"/>
        </w:rPr>
      </w:pPr>
    </w:p>
    <w:p w:rsidR="00CD3C6E" w:rsidRPr="004E350B" w:rsidRDefault="000A23FF" w:rsidP="00CD3C6E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Аудиторское заключение:</w:t>
      </w:r>
    </w:p>
    <w:p w:rsidR="00CD3C6E" w:rsidRPr="004E350B" w:rsidRDefault="00CD3C6E" w:rsidP="006F0A85">
      <w:pPr>
        <w:pStyle w:val="Subtitle"/>
        <w:rPr>
          <w:rFonts w:cs="Arial"/>
          <w:caps/>
          <w:szCs w:val="22"/>
        </w:rPr>
      </w:pPr>
    </w:p>
    <w:tbl>
      <w:tblPr>
        <w:tblW w:w="9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"/>
        <w:gridCol w:w="2154"/>
        <w:gridCol w:w="340"/>
        <w:gridCol w:w="2154"/>
        <w:gridCol w:w="340"/>
        <w:gridCol w:w="2154"/>
        <w:gridCol w:w="340"/>
        <w:gridCol w:w="2154"/>
      </w:tblGrid>
      <w:tr w:rsidR="004E350B" w:rsidRPr="004E350B" w:rsidTr="00D02451">
        <w:tc>
          <w:tcPr>
            <w:tcW w:w="340" w:type="dxa"/>
            <w:shd w:val="clear" w:color="auto" w:fill="auto"/>
          </w:tcPr>
          <w:p w:rsidR="00CD3C6E" w:rsidRPr="004E350B" w:rsidRDefault="00CD3C6E" w:rsidP="00CD3C6E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154" w:type="dxa"/>
            <w:shd w:val="clear" w:color="auto" w:fill="auto"/>
          </w:tcPr>
          <w:p w:rsidR="00CD3C6E" w:rsidRPr="004E350B" w:rsidRDefault="000A23FF" w:rsidP="000A23FF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Оценка пробелов</w:t>
            </w:r>
          </w:p>
        </w:tc>
        <w:tc>
          <w:tcPr>
            <w:tcW w:w="340" w:type="dxa"/>
            <w:shd w:val="clear" w:color="auto" w:fill="auto"/>
          </w:tcPr>
          <w:p w:rsidR="00CD3C6E" w:rsidRPr="004E350B" w:rsidRDefault="00CD3C6E" w:rsidP="00CD3C6E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154" w:type="dxa"/>
            <w:shd w:val="clear" w:color="auto" w:fill="auto"/>
          </w:tcPr>
          <w:p w:rsidR="00CD3C6E" w:rsidRPr="004E350B" w:rsidRDefault="00CD3C6E" w:rsidP="000A23FF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 xml:space="preserve">Первичный аудит </w:t>
            </w:r>
          </w:p>
        </w:tc>
        <w:tc>
          <w:tcPr>
            <w:tcW w:w="340" w:type="dxa"/>
            <w:shd w:val="clear" w:color="auto" w:fill="auto"/>
          </w:tcPr>
          <w:p w:rsidR="00CD3C6E" w:rsidRPr="004E350B" w:rsidRDefault="00CD3C6E" w:rsidP="00CD3C6E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154" w:type="dxa"/>
          </w:tcPr>
          <w:p w:rsidR="00CD3C6E" w:rsidRPr="004E350B" w:rsidRDefault="00CD3C6E" w:rsidP="000A23FF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>Периодический аудит</w:t>
            </w:r>
          </w:p>
        </w:tc>
        <w:tc>
          <w:tcPr>
            <w:tcW w:w="340" w:type="dxa"/>
          </w:tcPr>
          <w:p w:rsidR="00CD3C6E" w:rsidRPr="004E350B" w:rsidRDefault="00CD3C6E" w:rsidP="00CD3C6E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154" w:type="dxa"/>
          </w:tcPr>
          <w:p w:rsidR="00CD3C6E" w:rsidRPr="004E350B" w:rsidRDefault="00CD3C6E" w:rsidP="000A23FF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 xml:space="preserve">Аудит в целях </w:t>
            </w:r>
            <w:proofErr w:type="spellStart"/>
            <w:r>
              <w:rPr>
                <w:b/>
                <w:sz w:val="20"/>
              </w:rPr>
              <w:t>ресертификации</w:t>
            </w:r>
            <w:proofErr w:type="spellEnd"/>
          </w:p>
        </w:tc>
      </w:tr>
    </w:tbl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Организация:</w:t>
      </w: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Дата начала аудиторской проверки:</w:t>
      </w: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 xml:space="preserve">Дата завершения аудиторской проверки: </w:t>
      </w: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</w:p>
    <w:p w:rsidR="000A23FF" w:rsidRPr="004E350B" w:rsidRDefault="000A23FF" w:rsidP="001E7AF3">
      <w:pPr>
        <w:pStyle w:val="Subtitle"/>
        <w:jc w:val="left"/>
        <w:rPr>
          <w:rFonts w:cs="Arial"/>
          <w:sz w:val="20"/>
          <w:szCs w:val="21"/>
        </w:rPr>
      </w:pPr>
    </w:p>
    <w:p w:rsidR="00B22781" w:rsidRPr="004E350B" w:rsidRDefault="00B22781" w:rsidP="001E7AF3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Информация об объекте (здании):</w:t>
      </w:r>
    </w:p>
    <w:p w:rsidR="00B22781" w:rsidRPr="004E350B" w:rsidRDefault="00B22781" w:rsidP="001E7AF3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236"/>
        <w:gridCol w:w="567"/>
        <w:gridCol w:w="1327"/>
        <w:gridCol w:w="540"/>
        <w:gridCol w:w="3150"/>
        <w:gridCol w:w="653"/>
      </w:tblGrid>
      <w:tr w:rsidR="004E350B" w:rsidRPr="004E350B" w:rsidTr="00E226D5">
        <w:trPr>
          <w:trHeight w:val="4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Один объект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 xml:space="preserve">Несколько объектов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20"/>
              </w:rPr>
              <w:t>Если да, укажите количество объектов (помимо основного здания):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4E350B" w:rsidRPr="004E350B" w:rsidTr="00E226D5">
        <w:trPr>
          <w:trHeight w:val="458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473" w:rsidRPr="004E350B" w:rsidRDefault="00F41473" w:rsidP="004E350B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sz w:val="18"/>
              </w:rPr>
              <w:t>Основывается ли сертификация на выборочном обследовании объектов: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473" w:rsidRPr="004E350B" w:rsidRDefault="00F41473" w:rsidP="00F4147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473" w:rsidRPr="004E350B" w:rsidRDefault="00F41473" w:rsidP="00F41473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>Да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473" w:rsidRPr="004E350B" w:rsidRDefault="00F41473" w:rsidP="00F4147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473" w:rsidRPr="004E350B" w:rsidRDefault="00F41473" w:rsidP="00F41473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>Нет</w:t>
            </w:r>
          </w:p>
        </w:tc>
      </w:tr>
      <w:tr w:rsidR="004E350B" w:rsidRPr="004E350B" w:rsidTr="00E60AC3">
        <w:trPr>
          <w:trHeight w:val="458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473" w:rsidRPr="004E350B" w:rsidRDefault="00F41473" w:rsidP="0076424F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>При сертификации, основанной на выборочном обследовании объектов, старший аудитор должен подтвердить следующее:</w:t>
            </w:r>
          </w:p>
        </w:tc>
      </w:tr>
      <w:tr w:rsidR="004E350B" w:rsidRPr="004E350B" w:rsidTr="00E60AC3">
        <w:trPr>
          <w:trHeight w:val="458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BB0549" w:rsidRPr="004E350B" w:rsidRDefault="00BB0549" w:rsidP="000A23FF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>
              <w:rPr>
                <w:sz w:val="20"/>
              </w:rPr>
              <w:t>Организация соответствует следующим критериям:</w:t>
            </w:r>
          </w:p>
        </w:tc>
      </w:tr>
      <w:tr w:rsidR="004E350B" w:rsidRPr="004E350B" w:rsidTr="00E60AC3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BB0549" w:rsidRPr="004E350B" w:rsidRDefault="00BB0549" w:rsidP="005E264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:rsidR="00BB0549" w:rsidRPr="004E350B" w:rsidRDefault="00BB0549" w:rsidP="000A23FF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>
              <w:rPr>
                <w:sz w:val="20"/>
              </w:rPr>
              <w:t>Общая система управления контролируется централизованно</w:t>
            </w:r>
          </w:p>
        </w:tc>
      </w:tr>
      <w:tr w:rsidR="004E350B" w:rsidRPr="004E350B" w:rsidTr="00E60AC3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BB0549" w:rsidRPr="004E350B" w:rsidRDefault="00BB0549" w:rsidP="005E264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:rsidR="00BB0549" w:rsidRPr="004E350B" w:rsidRDefault="00461A01" w:rsidP="00461A01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>
              <w:rPr>
                <w:sz w:val="20"/>
              </w:rPr>
              <w:t>Внутренние аудиторские проверки и обзоры управления проводятся централизованно</w:t>
            </w:r>
          </w:p>
        </w:tc>
      </w:tr>
      <w:tr w:rsidR="004E350B" w:rsidRPr="004E350B" w:rsidTr="00E60AC3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BB0549" w:rsidRPr="004E350B" w:rsidRDefault="00BB0549" w:rsidP="005E264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:rsidR="00BB0549" w:rsidRPr="004E350B" w:rsidRDefault="00BB0549" w:rsidP="000A23FF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>
              <w:rPr>
                <w:sz w:val="20"/>
              </w:rPr>
              <w:t>Сходные виды деятельности на всех объектах</w:t>
            </w:r>
          </w:p>
        </w:tc>
      </w:tr>
      <w:tr w:rsidR="004E350B" w:rsidRPr="004E350B" w:rsidTr="00E60AC3">
        <w:trPr>
          <w:trHeight w:hRule="exact" w:val="802"/>
        </w:trPr>
        <w:tc>
          <w:tcPr>
            <w:tcW w:w="450" w:type="dxa"/>
            <w:shd w:val="clear" w:color="auto" w:fill="auto"/>
            <w:vAlign w:val="center"/>
          </w:tcPr>
          <w:p w:rsidR="00F41473" w:rsidRPr="004E350B" w:rsidRDefault="00F41473" w:rsidP="00F4147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:rsidR="00F41473" w:rsidRPr="004E350B" w:rsidRDefault="00461A01" w:rsidP="000A23FF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>
              <w:rPr>
                <w:sz w:val="20"/>
              </w:rPr>
              <w:t xml:space="preserve">Ключевые элементы ГПД-III эффективно осуществляются центральным звеном (например, изменения в системе управления, обзор управления, внутренние аудиторские проверки, жалобы, требования законодательства, оценка корректирующих мер и изменения в аспектах системы управления </w:t>
            </w:r>
            <w:proofErr w:type="spellStart"/>
            <w:r>
              <w:rPr>
                <w:sz w:val="20"/>
              </w:rPr>
              <w:t>биорисками</w:t>
            </w:r>
            <w:proofErr w:type="spellEnd"/>
            <w:r>
              <w:rPr>
                <w:sz w:val="20"/>
              </w:rPr>
              <w:t xml:space="preserve"> в рамках ГПД-III)</w:t>
            </w:r>
          </w:p>
        </w:tc>
      </w:tr>
      <w:tr w:rsidR="004E350B" w:rsidRPr="004E350B" w:rsidTr="00E60AC3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BB0549" w:rsidRPr="004E350B" w:rsidRDefault="00BB0549" w:rsidP="00BB054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auto"/>
            <w:vAlign w:val="center"/>
          </w:tcPr>
          <w:p w:rsidR="00BB0549" w:rsidRPr="004E350B" w:rsidRDefault="00BB0549" w:rsidP="000A23FF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>
              <w:rPr>
                <w:sz w:val="20"/>
              </w:rPr>
              <w:t>Полномасштабные внутренние аудиторские проверки всех объектов осуществляются и доказали свою эффективность (включая критерии соответствующих нормативных положений)</w:t>
            </w:r>
          </w:p>
        </w:tc>
      </w:tr>
      <w:tr w:rsidR="00BB0549" w:rsidRPr="004E350B" w:rsidTr="00E60AC3">
        <w:trPr>
          <w:trHeight w:val="4602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BB0549" w:rsidRPr="004E350B" w:rsidRDefault="000A23FF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>
              <w:rPr>
                <w:sz w:val="20"/>
              </w:rPr>
              <w:lastRenderedPageBreak/>
              <w:t>Другие замечания:</w:t>
            </w:r>
          </w:p>
          <w:p w:rsidR="000A23FF" w:rsidRPr="004E350B" w:rsidRDefault="000A23FF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E60AC3" w:rsidRPr="004E350B" w:rsidRDefault="00E60AC3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E60AC3" w:rsidRPr="004E350B" w:rsidRDefault="00E60AC3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E60AC3" w:rsidRPr="004E350B" w:rsidRDefault="00E60AC3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2D2417" w:rsidRPr="004E350B" w:rsidRDefault="002D2417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E60AC3" w:rsidRPr="004E350B" w:rsidRDefault="00E60AC3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2D2417" w:rsidRPr="004E350B" w:rsidRDefault="002D2417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BB0549" w:rsidRPr="004E350B" w:rsidRDefault="00BB0549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</w:tc>
      </w:tr>
    </w:tbl>
    <w:p w:rsidR="00F21086" w:rsidRPr="004E350B" w:rsidRDefault="00F21086" w:rsidP="001E7AF3">
      <w:pPr>
        <w:pStyle w:val="Subtitle"/>
        <w:jc w:val="left"/>
        <w:rPr>
          <w:rFonts w:cs="Arial"/>
          <w:szCs w:val="22"/>
        </w:rPr>
      </w:pPr>
    </w:p>
    <w:p w:rsidR="00BB0549" w:rsidRPr="004E350B" w:rsidRDefault="00BB0549" w:rsidP="001E7AF3">
      <w:pPr>
        <w:pStyle w:val="Subtitle"/>
        <w:jc w:val="left"/>
        <w:rPr>
          <w:rFonts w:cs="Arial"/>
          <w:szCs w:val="22"/>
        </w:rPr>
      </w:pPr>
      <w:r>
        <w:t>Аудиторская проверка будет охватывать следующий объект (объекты):</w:t>
      </w:r>
    </w:p>
    <w:p w:rsidR="00BB0549" w:rsidRPr="004E350B" w:rsidRDefault="00BB0549" w:rsidP="001E7AF3">
      <w:pPr>
        <w:pStyle w:val="Subtitle"/>
        <w:jc w:val="left"/>
        <w:rPr>
          <w:rFonts w:cs="Arial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4536"/>
      </w:tblGrid>
      <w:tr w:rsidR="004E350B" w:rsidRPr="004E350B" w:rsidTr="00F21086">
        <w:trPr>
          <w:trHeight w:val="737"/>
        </w:trPr>
        <w:tc>
          <w:tcPr>
            <w:tcW w:w="1985" w:type="dxa"/>
            <w:shd w:val="clear" w:color="auto" w:fill="auto"/>
            <w:vAlign w:val="center"/>
          </w:tcPr>
          <w:p w:rsidR="002D2417" w:rsidRPr="004E350B" w:rsidRDefault="00F21086" w:rsidP="00607192">
            <w:pPr>
              <w:pStyle w:val="Subtitle"/>
              <w:jc w:val="left"/>
              <w:rPr>
                <w:rFonts w:cs="Arial"/>
                <w:szCs w:val="22"/>
              </w:rPr>
            </w:pPr>
            <w:r>
              <w:t>Название объекта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2D2417">
            <w:pPr>
              <w:pStyle w:val="Subtitle"/>
              <w:rPr>
                <w:rFonts w:cs="Arial"/>
                <w:szCs w:val="22"/>
              </w:rPr>
            </w:pPr>
            <w:r>
              <w:t>Адрес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2D2417">
            <w:pPr>
              <w:pStyle w:val="Subtitle"/>
              <w:rPr>
                <w:rFonts w:cs="Arial"/>
                <w:szCs w:val="22"/>
              </w:rPr>
            </w:pPr>
            <w:r>
              <w:t>Предназначение объекта</w:t>
            </w:r>
          </w:p>
        </w:tc>
      </w:tr>
      <w:tr w:rsidR="004E350B" w:rsidRPr="004E350B" w:rsidTr="00F21086">
        <w:trPr>
          <w:trHeight w:val="737"/>
        </w:trPr>
        <w:tc>
          <w:tcPr>
            <w:tcW w:w="1985" w:type="dxa"/>
            <w:shd w:val="clear" w:color="auto" w:fill="auto"/>
          </w:tcPr>
          <w:p w:rsidR="002D2417" w:rsidRPr="004E350B" w:rsidRDefault="000A23FF" w:rsidP="00F21086">
            <w:pPr>
              <w:pStyle w:val="Subtitle"/>
              <w:ind w:right="-186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b w:val="0"/>
                <w:sz w:val="18"/>
              </w:rPr>
              <w:t>Головное учреждение/основное здание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4E350B" w:rsidRPr="004E350B" w:rsidTr="00F21086">
        <w:trPr>
          <w:trHeight w:val="737"/>
        </w:trPr>
        <w:tc>
          <w:tcPr>
            <w:tcW w:w="1985" w:type="dxa"/>
            <w:shd w:val="clear" w:color="auto" w:fill="auto"/>
          </w:tcPr>
          <w:p w:rsidR="002D2417" w:rsidRPr="004E350B" w:rsidRDefault="000A23FF" w:rsidP="00F21086">
            <w:pPr>
              <w:pStyle w:val="Subtitle"/>
              <w:ind w:right="-186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b w:val="0"/>
                <w:sz w:val="18"/>
              </w:rPr>
              <w:t>Название объекта 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4E350B" w:rsidRPr="004E350B" w:rsidTr="00F21086">
        <w:trPr>
          <w:trHeight w:val="737"/>
        </w:trPr>
        <w:tc>
          <w:tcPr>
            <w:tcW w:w="1985" w:type="dxa"/>
            <w:shd w:val="clear" w:color="auto" w:fill="auto"/>
          </w:tcPr>
          <w:p w:rsidR="002D2417" w:rsidRPr="004E350B" w:rsidRDefault="000A23FF" w:rsidP="00F21086">
            <w:pPr>
              <w:pStyle w:val="Subtitle"/>
              <w:ind w:right="-186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b w:val="0"/>
                <w:sz w:val="18"/>
              </w:rPr>
              <w:t>Название объекта 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2D2417" w:rsidRPr="004E350B" w:rsidTr="00F21086">
        <w:trPr>
          <w:trHeight w:val="737"/>
        </w:trPr>
        <w:tc>
          <w:tcPr>
            <w:tcW w:w="1985" w:type="dxa"/>
            <w:shd w:val="clear" w:color="auto" w:fill="auto"/>
          </w:tcPr>
          <w:p w:rsidR="002D2417" w:rsidRPr="004E350B" w:rsidRDefault="000A23FF" w:rsidP="00F21086">
            <w:pPr>
              <w:pStyle w:val="Subtitle"/>
              <w:ind w:right="-186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b w:val="0"/>
                <w:sz w:val="18"/>
              </w:rPr>
              <w:t>Название объекта 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</w:tr>
    </w:tbl>
    <w:p w:rsidR="00F21086" w:rsidRPr="004E350B" w:rsidRDefault="00F21086" w:rsidP="00F21086">
      <w:pPr>
        <w:pStyle w:val="Subtitle"/>
        <w:jc w:val="left"/>
        <w:rPr>
          <w:rFonts w:cs="Arial"/>
          <w:szCs w:val="22"/>
        </w:rPr>
      </w:pPr>
    </w:p>
    <w:p w:rsidR="007C21C0" w:rsidRPr="004E350B" w:rsidRDefault="00F21086" w:rsidP="00F21086">
      <w:pPr>
        <w:pStyle w:val="Subtitle"/>
        <w:jc w:val="left"/>
        <w:rPr>
          <w:rFonts w:cs="Arial"/>
          <w:szCs w:val="22"/>
        </w:rPr>
      </w:pPr>
      <w:r>
        <w:t>Изменение предназначения (если применимо):</w:t>
      </w:r>
    </w:p>
    <w:p w:rsidR="007C21C0" w:rsidRPr="004E350B" w:rsidRDefault="007C21C0" w:rsidP="00F21086">
      <w:pPr>
        <w:rPr>
          <w:sz w:val="24"/>
          <w:szCs w:val="24"/>
        </w:rPr>
      </w:pPr>
    </w:p>
    <w:p w:rsidR="00BB0549" w:rsidRPr="004E350B" w:rsidRDefault="00B21DDC" w:rsidP="00F21086">
      <w:pPr>
        <w:pStyle w:val="Subtitle"/>
        <w:jc w:val="left"/>
        <w:rPr>
          <w:rFonts w:cs="Arial"/>
          <w:szCs w:val="22"/>
        </w:rPr>
      </w:pPr>
      <w:r>
        <w:t>Состав аудиторской группы:</w:t>
      </w:r>
    </w:p>
    <w:p w:rsidR="003F0BC3" w:rsidRPr="004E350B" w:rsidRDefault="003F0BC3" w:rsidP="00F21086">
      <w:pPr>
        <w:pStyle w:val="Subtitle"/>
        <w:jc w:val="left"/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7329"/>
      </w:tblGrid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4E350B" w:rsidRDefault="003F0BC3" w:rsidP="003F0BC3">
            <w:pPr>
              <w:pStyle w:val="Subtitle"/>
              <w:rPr>
                <w:rFonts w:cs="Arial"/>
                <w:sz w:val="20"/>
                <w:szCs w:val="21"/>
              </w:rPr>
            </w:pPr>
            <w:r>
              <w:rPr>
                <w:sz w:val="20"/>
              </w:rPr>
              <w:t>Роль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4E350B" w:rsidRDefault="003F0BC3" w:rsidP="003F0BC3">
            <w:pPr>
              <w:pStyle w:val="Subtitle"/>
              <w:rPr>
                <w:rFonts w:cs="Arial"/>
                <w:sz w:val="20"/>
                <w:szCs w:val="21"/>
              </w:rPr>
            </w:pPr>
            <w:r>
              <w:rPr>
                <w:sz w:val="20"/>
              </w:rPr>
              <w:t>Фамилия</w:t>
            </w: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4E350B" w:rsidRDefault="000A23FF" w:rsidP="00607192">
            <w:pPr>
              <w:pStyle w:val="Subtitle"/>
              <w:jc w:val="left"/>
              <w:rPr>
                <w:rFonts w:eastAsia="MS Mincho" w:cs="Arial"/>
                <w:sz w:val="20"/>
                <w:szCs w:val="18"/>
              </w:rPr>
            </w:pPr>
            <w:r>
              <w:rPr>
                <w:sz w:val="20"/>
              </w:rPr>
              <w:t>Руководитель группы/старший аудитор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4E350B" w:rsidRDefault="003F0BC3" w:rsidP="00607192">
            <w:pPr>
              <w:pStyle w:val="Subtitle"/>
              <w:jc w:val="left"/>
              <w:rPr>
                <w:rFonts w:eastAsia="MS Mincho" w:cs="Arial"/>
                <w:sz w:val="20"/>
                <w:szCs w:val="18"/>
              </w:rPr>
            </w:pPr>
            <w:r>
              <w:rPr>
                <w:sz w:val="20"/>
              </w:rPr>
              <w:t>Аудитор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4E350B" w:rsidRDefault="002C2C3D" w:rsidP="002C2C3D">
            <w:pPr>
              <w:pStyle w:val="Subtitle"/>
              <w:jc w:val="left"/>
              <w:rPr>
                <w:rFonts w:eastAsia="MS Mincho" w:cs="Arial"/>
                <w:sz w:val="20"/>
                <w:szCs w:val="18"/>
              </w:rPr>
            </w:pPr>
            <w:r>
              <w:rPr>
                <w:sz w:val="20"/>
              </w:rPr>
              <w:t xml:space="preserve">Аудитор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4E350B" w:rsidRDefault="004E350B" w:rsidP="00F21086">
            <w:pPr>
              <w:pStyle w:val="Subtitle"/>
              <w:jc w:val="left"/>
              <w:rPr>
                <w:rFonts w:eastAsia="MS Mincho" w:cs="Arial"/>
                <w:sz w:val="20"/>
                <w:szCs w:val="18"/>
              </w:rPr>
            </w:pPr>
            <w:r>
              <w:rPr>
                <w:sz w:val="20"/>
              </w:rPr>
              <w:t xml:space="preserve">Эксперт –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F21086" w:rsidRPr="004E350B" w:rsidRDefault="004E350B" w:rsidP="00F21086">
            <w:pPr>
              <w:pStyle w:val="Subtitle"/>
              <w:jc w:val="left"/>
              <w:rPr>
                <w:rFonts w:eastAsia="MS Mincho" w:cs="Arial"/>
                <w:sz w:val="20"/>
                <w:szCs w:val="18"/>
              </w:rPr>
            </w:pPr>
            <w:r>
              <w:rPr>
                <w:sz w:val="20"/>
              </w:rPr>
              <w:lastRenderedPageBreak/>
              <w:t xml:space="preserve">Эксперт –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21086" w:rsidRPr="004E350B" w:rsidRDefault="00F21086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4E350B" w:rsidRPr="004E350B" w:rsidDel="004E350B" w:rsidRDefault="004E350B" w:rsidP="00F21086">
            <w:pPr>
              <w:pStyle w:val="Subtitle"/>
              <w:jc w:val="left"/>
              <w:rPr>
                <w:rFonts w:eastAsia="MS Mincho" w:cs="Arial"/>
                <w:sz w:val="20"/>
                <w:szCs w:val="18"/>
              </w:rPr>
            </w:pPr>
            <w:r>
              <w:rPr>
                <w:sz w:val="20"/>
              </w:rPr>
              <w:t>Переводчик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E350B" w:rsidRPr="004E350B" w:rsidRDefault="004E350B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4E350B" w:rsidRPr="004E350B" w:rsidDel="004E350B" w:rsidRDefault="004E350B" w:rsidP="00F21086">
            <w:pPr>
              <w:pStyle w:val="Subtitle"/>
              <w:jc w:val="left"/>
              <w:rPr>
                <w:rFonts w:eastAsia="MS Mincho" w:cs="Arial"/>
                <w:sz w:val="20"/>
                <w:szCs w:val="18"/>
              </w:rPr>
            </w:pPr>
            <w:r>
              <w:rPr>
                <w:sz w:val="20"/>
              </w:rPr>
              <w:t>Наблюдатель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E350B" w:rsidRPr="004E350B" w:rsidRDefault="004E350B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</w:tbl>
    <w:p w:rsidR="00BB0549" w:rsidRPr="004E350B" w:rsidRDefault="00BB05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BB0549" w:rsidRPr="004E350B" w:rsidTr="00F21086">
        <w:tc>
          <w:tcPr>
            <w:tcW w:w="10206" w:type="dxa"/>
            <w:shd w:val="clear" w:color="auto" w:fill="auto"/>
          </w:tcPr>
          <w:p w:rsidR="00BB0549" w:rsidRPr="004E350B" w:rsidRDefault="000A23FF" w:rsidP="000A23FF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>Ключевые требования законодательства:</w:t>
            </w: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4E350B" w:rsidRPr="004E350B" w:rsidRDefault="004E350B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</w:tc>
      </w:tr>
    </w:tbl>
    <w:p w:rsidR="003F0BC3" w:rsidRPr="004E350B" w:rsidRDefault="003F0B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D96F1F" w:rsidRPr="004E350B" w:rsidTr="00F21086">
        <w:tc>
          <w:tcPr>
            <w:tcW w:w="10206" w:type="dxa"/>
            <w:shd w:val="clear" w:color="auto" w:fill="auto"/>
          </w:tcPr>
          <w:p w:rsidR="003F0BC3" w:rsidRPr="004E350B" w:rsidRDefault="000A23FF" w:rsidP="00607192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>Ключевые процессы, переданные на внешний подряд:</w:t>
            </w: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E60AC3" w:rsidRPr="004E350B" w:rsidRDefault="00E60A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</w:tbl>
    <w:p w:rsidR="00F21086" w:rsidRPr="004E350B" w:rsidRDefault="00F21086" w:rsidP="00B21DDC">
      <w:pPr>
        <w:pStyle w:val="Subtitle"/>
        <w:jc w:val="left"/>
        <w:rPr>
          <w:rFonts w:cs="Arial"/>
          <w:sz w:val="20"/>
          <w:szCs w:val="21"/>
        </w:rPr>
      </w:pPr>
    </w:p>
    <w:p w:rsidR="00B21DDC" w:rsidRPr="004E350B" w:rsidRDefault="000A23FF" w:rsidP="003D3BF8">
      <w:pPr>
        <w:pStyle w:val="Subtitle"/>
        <w:jc w:val="left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</w:rPr>
        <w:t>Краткое изложение выводов:</w:t>
      </w:r>
    </w:p>
    <w:p w:rsidR="003D3BF8" w:rsidRPr="004E350B" w:rsidRDefault="003D3BF8" w:rsidP="003D3BF8">
      <w:pPr>
        <w:pStyle w:val="Subtitle"/>
        <w:jc w:val="left"/>
        <w:rPr>
          <w:rFonts w:asciiTheme="minorBidi" w:hAnsiTheme="minorBidi" w:cstheme="minorBidi"/>
          <w:szCs w:val="22"/>
        </w:rPr>
      </w:pPr>
    </w:p>
    <w:p w:rsidR="00B21DDC" w:rsidRPr="004E350B" w:rsidRDefault="00B21DDC" w:rsidP="003D3BF8">
      <w:pPr>
        <w:pStyle w:val="Subtitle"/>
        <w:jc w:val="left"/>
        <w:rPr>
          <w:rFonts w:asciiTheme="minorBidi" w:hAnsiTheme="minorBidi" w:cstheme="minorBidi"/>
          <w:szCs w:val="22"/>
        </w:rPr>
      </w:pPr>
    </w:p>
    <w:p w:rsidR="00B21DDC" w:rsidRPr="004E350B" w:rsidRDefault="000A23FF" w:rsidP="003D3BF8">
      <w:pPr>
        <w:pStyle w:val="Subtitle"/>
        <w:jc w:val="left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</w:rPr>
        <w:t>Количество значительных усилий:</w:t>
      </w:r>
    </w:p>
    <w:p w:rsidR="00B21DDC" w:rsidRPr="004E350B" w:rsidRDefault="00B21DDC" w:rsidP="003D3BF8">
      <w:pPr>
        <w:pStyle w:val="Subtitle"/>
        <w:jc w:val="left"/>
        <w:rPr>
          <w:rFonts w:asciiTheme="minorBidi" w:hAnsiTheme="minorBidi" w:cstheme="minorBidi"/>
          <w:szCs w:val="22"/>
        </w:rPr>
      </w:pPr>
    </w:p>
    <w:p w:rsidR="00B21DDC" w:rsidRPr="004E350B" w:rsidRDefault="00E05392" w:rsidP="003D3BF8">
      <w:pPr>
        <w:pStyle w:val="Subtitle"/>
        <w:jc w:val="left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</w:rPr>
        <w:t>Общее количество выявленных несоответствий (НС):</w:t>
      </w:r>
    </w:p>
    <w:p w:rsidR="003D3BF8" w:rsidRPr="004E350B" w:rsidRDefault="003D3BF8" w:rsidP="003D3BF8">
      <w:pPr>
        <w:pStyle w:val="Subtitle"/>
        <w:jc w:val="left"/>
        <w:rPr>
          <w:rFonts w:asciiTheme="minorBidi" w:hAnsiTheme="minorBidi" w:cstheme="minorBidi"/>
          <w:szCs w:val="22"/>
        </w:rPr>
      </w:pPr>
    </w:p>
    <w:p w:rsidR="00B21DDC" w:rsidRPr="004E350B" w:rsidRDefault="00E05392" w:rsidP="003D3BF8">
      <w:pPr>
        <w:pStyle w:val="ListParagraph"/>
        <w:numPr>
          <w:ilvl w:val="0"/>
          <w:numId w:val="11"/>
        </w:numPr>
        <w:spacing w:after="120"/>
        <w:ind w:left="1077" w:hanging="357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</w:rPr>
        <w:t>Несоответствия категории 1 (существенные) (НС1):</w:t>
      </w:r>
    </w:p>
    <w:p w:rsidR="003D3BF8" w:rsidRPr="004E350B" w:rsidRDefault="003D3BF8" w:rsidP="003D3BF8">
      <w:pPr>
        <w:pStyle w:val="ListParagraph"/>
        <w:ind w:left="1080"/>
        <w:rPr>
          <w:rFonts w:asciiTheme="minorBidi" w:hAnsiTheme="minorBidi" w:cstheme="minorBidi"/>
          <w:b/>
          <w:sz w:val="22"/>
          <w:szCs w:val="22"/>
        </w:rPr>
      </w:pPr>
    </w:p>
    <w:p w:rsidR="00E05392" w:rsidRPr="004E350B" w:rsidRDefault="00E05392" w:rsidP="003D3BF8">
      <w:pPr>
        <w:pStyle w:val="ListParagraph"/>
        <w:numPr>
          <w:ilvl w:val="0"/>
          <w:numId w:val="11"/>
        </w:numPr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</w:rPr>
        <w:t>Несоответствия категории 2 (несущественные) (НС2):</w:t>
      </w:r>
    </w:p>
    <w:p w:rsidR="00E05392" w:rsidRPr="004E350B" w:rsidRDefault="00E05392" w:rsidP="003D3BF8">
      <w:pPr>
        <w:ind w:left="360"/>
        <w:rPr>
          <w:rFonts w:asciiTheme="minorBidi" w:hAnsiTheme="minorBidi" w:cstheme="minorBidi"/>
          <w:b/>
        </w:rPr>
      </w:pPr>
    </w:p>
    <w:p w:rsidR="00E05392" w:rsidRPr="004E350B" w:rsidRDefault="00E05392" w:rsidP="003D3BF8">
      <w:pPr>
        <w:pStyle w:val="Subtitle"/>
        <w:jc w:val="left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</w:rPr>
        <w:t>Количество замечаний:</w:t>
      </w:r>
    </w:p>
    <w:p w:rsidR="00E05392" w:rsidRPr="004E350B" w:rsidRDefault="00E05392" w:rsidP="003D3BF8">
      <w:pPr>
        <w:pStyle w:val="Subtitle"/>
        <w:jc w:val="left"/>
        <w:rPr>
          <w:rFonts w:asciiTheme="minorBidi" w:hAnsiTheme="minorBidi" w:cstheme="minorBidi"/>
          <w:szCs w:val="22"/>
        </w:rPr>
      </w:pPr>
    </w:p>
    <w:p w:rsidR="00E012BA" w:rsidRPr="004E350B" w:rsidRDefault="00E012BA" w:rsidP="003D3BF8">
      <w:pPr>
        <w:pStyle w:val="Subtitle"/>
        <w:jc w:val="left"/>
        <w:rPr>
          <w:rFonts w:asciiTheme="minorBidi" w:hAnsiTheme="minorBidi" w:cstheme="minorBidi"/>
          <w:szCs w:val="22"/>
        </w:rPr>
      </w:pPr>
    </w:p>
    <w:p w:rsidR="00E012BA" w:rsidRPr="004E350B" w:rsidRDefault="00ED7395" w:rsidP="003D3BF8">
      <w:pPr>
        <w:pStyle w:val="Subtitle"/>
        <w:jc w:val="left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</w:rPr>
        <w:t>Ключевые выводы аудиторской проверки:</w:t>
      </w:r>
    </w:p>
    <w:p w:rsidR="00ED7395" w:rsidRPr="004E350B" w:rsidRDefault="00ED7395" w:rsidP="00E012BA">
      <w:pPr>
        <w:pStyle w:val="Subtitle"/>
        <w:jc w:val="left"/>
        <w:rPr>
          <w:rFonts w:asciiTheme="minorBidi" w:hAnsiTheme="minorBidi" w:cstheme="minorBid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ED7395" w:rsidRPr="004E350B" w:rsidTr="00607192">
        <w:tc>
          <w:tcPr>
            <w:tcW w:w="10440" w:type="dxa"/>
            <w:shd w:val="clear" w:color="auto" w:fill="auto"/>
          </w:tcPr>
          <w:p w:rsidR="00ED7395" w:rsidRPr="004E350B" w:rsidRDefault="003D3BF8" w:rsidP="00607192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>Значительные усилия:</w:t>
            </w: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F0168B" w:rsidRPr="004E350B" w:rsidRDefault="00F0168B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</w:tc>
      </w:tr>
    </w:tbl>
    <w:p w:rsidR="00ED7395" w:rsidRPr="004E350B" w:rsidRDefault="00ED73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ED7395" w:rsidRPr="004E350B" w:rsidTr="00607192">
        <w:tc>
          <w:tcPr>
            <w:tcW w:w="10440" w:type="dxa"/>
            <w:shd w:val="clear" w:color="auto" w:fill="auto"/>
          </w:tcPr>
          <w:p w:rsidR="00ED7395" w:rsidRPr="004E350B" w:rsidRDefault="00F0168B" w:rsidP="00607192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>Несоответствия:</w:t>
            </w: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6D3D95" w:rsidRPr="004E350B" w:rsidRDefault="006D3D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</w:tc>
      </w:tr>
    </w:tbl>
    <w:p w:rsidR="00ED7395" w:rsidRDefault="00ED7395"/>
    <w:p w:rsidR="00E226D5" w:rsidRDefault="00E226D5"/>
    <w:p w:rsidR="00E226D5" w:rsidRPr="004E350B" w:rsidRDefault="00E226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ED7395" w:rsidRPr="004E350B" w:rsidTr="00607192">
        <w:tc>
          <w:tcPr>
            <w:tcW w:w="10440" w:type="dxa"/>
            <w:shd w:val="clear" w:color="auto" w:fill="auto"/>
          </w:tcPr>
          <w:p w:rsidR="00ED7395" w:rsidRPr="004E350B" w:rsidRDefault="00ED7395" w:rsidP="00607192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lastRenderedPageBreak/>
              <w:t>Замечания:</w:t>
            </w: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6D3D95" w:rsidRPr="004E350B" w:rsidRDefault="006D3D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</w:tc>
      </w:tr>
    </w:tbl>
    <w:p w:rsidR="00ED7395" w:rsidRPr="004E350B" w:rsidRDefault="00ED7395" w:rsidP="00ED7395">
      <w:pPr>
        <w:spacing w:before="60" w:after="60"/>
        <w:rPr>
          <w:rFonts w:cs="Arial"/>
          <w:b/>
          <w:bCs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F0168B" w:rsidRPr="004E350B" w:rsidTr="005E2642">
        <w:tc>
          <w:tcPr>
            <w:tcW w:w="10440" w:type="dxa"/>
            <w:shd w:val="clear" w:color="auto" w:fill="auto"/>
          </w:tcPr>
          <w:p w:rsidR="00F0168B" w:rsidRPr="004E350B" w:rsidRDefault="00F0168B" w:rsidP="005E2642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>Возможности для улучшений:</w:t>
            </w:r>
          </w:p>
          <w:p w:rsidR="00F0168B" w:rsidRPr="004E350B" w:rsidRDefault="00F0168B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F0168B" w:rsidRPr="004E350B" w:rsidRDefault="00F0168B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6D3D95" w:rsidRPr="004E350B" w:rsidRDefault="006D3D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F0168B" w:rsidRPr="004E350B" w:rsidRDefault="00F0168B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F0168B" w:rsidRPr="004E350B" w:rsidRDefault="00F0168B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</w:tc>
      </w:tr>
    </w:tbl>
    <w:p w:rsidR="00ED7395" w:rsidRPr="004E350B" w:rsidRDefault="00ED7395" w:rsidP="00ED7395">
      <w:pPr>
        <w:spacing w:before="60" w:after="60"/>
        <w:rPr>
          <w:rFonts w:cs="Arial"/>
          <w:b/>
          <w:bCs/>
          <w:sz w:val="20"/>
          <w:szCs w:val="18"/>
        </w:rPr>
      </w:pPr>
    </w:p>
    <w:p w:rsidR="00995CB6" w:rsidRPr="004E350B" w:rsidRDefault="003D3BF8" w:rsidP="00995CB6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Результаты и конечный вывод:</w:t>
      </w:r>
    </w:p>
    <w:p w:rsidR="00607192" w:rsidRPr="004E350B" w:rsidRDefault="00607192" w:rsidP="000A23FF">
      <w:pPr>
        <w:rPr>
          <w:rFonts w:cs="Arial"/>
          <w:b/>
          <w:bCs/>
          <w:sz w:val="20"/>
          <w:szCs w:val="18"/>
        </w:rPr>
      </w:pPr>
    </w:p>
    <w:p w:rsidR="00CA24DC" w:rsidRPr="004E350B" w:rsidRDefault="00CA24DC" w:rsidP="000A23FF">
      <w:pPr>
        <w:rPr>
          <w:rFonts w:cs="Arial"/>
          <w:b/>
          <w:bCs/>
          <w:sz w:val="20"/>
          <w:szCs w:val="18"/>
        </w:rPr>
      </w:pPr>
    </w:p>
    <w:p w:rsidR="00E60AC3" w:rsidRPr="004E350B" w:rsidRDefault="00E60AC3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Pr="004E350B" w:rsidRDefault="0076424F" w:rsidP="000A23FF">
      <w:pPr>
        <w:rPr>
          <w:rFonts w:cs="Arial"/>
          <w:b/>
          <w:bCs/>
          <w:sz w:val="20"/>
          <w:szCs w:val="18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CE1070" w:rsidRDefault="00CE1070" w:rsidP="00F81C55">
      <w:pPr>
        <w:spacing w:after="120"/>
        <w:rPr>
          <w:b/>
          <w:sz w:val="20"/>
          <w:lang w:val="en-GB"/>
        </w:rPr>
      </w:pPr>
    </w:p>
    <w:p w:rsidR="00F81C55" w:rsidRPr="004E350B" w:rsidRDefault="001661D4" w:rsidP="00F81C55">
      <w:pPr>
        <w:spacing w:after="120"/>
        <w:rPr>
          <w:rFonts w:eastAsia="Times New Roman" w:cs="Arial"/>
          <w:b/>
          <w:bCs/>
          <w:sz w:val="20"/>
          <w:szCs w:val="21"/>
        </w:rPr>
      </w:pPr>
      <w:r>
        <w:rPr>
          <w:b/>
          <w:sz w:val="20"/>
        </w:rPr>
        <w:lastRenderedPageBreak/>
        <w:t>Последующие шаги:</w:t>
      </w:r>
    </w:p>
    <w:p w:rsidR="001661D4" w:rsidRPr="004E350B" w:rsidRDefault="001661D4" w:rsidP="00402A91">
      <w:pPr>
        <w:spacing w:before="60" w:after="60"/>
        <w:jc w:val="both"/>
        <w:rPr>
          <w:rFonts w:cs="Arial"/>
          <w:sz w:val="20"/>
          <w:szCs w:val="18"/>
        </w:rPr>
      </w:pPr>
      <w:r>
        <w:rPr>
          <w:sz w:val="20"/>
        </w:rPr>
        <w:t xml:space="preserve">Чтобы получить Временный сертификат </w:t>
      </w:r>
      <w:proofErr w:type="spellStart"/>
      <w:r>
        <w:rPr>
          <w:sz w:val="20"/>
        </w:rPr>
        <w:t>контейнмента</w:t>
      </w:r>
      <w:proofErr w:type="spellEnd"/>
      <w:r>
        <w:rPr>
          <w:sz w:val="20"/>
        </w:rPr>
        <w:t xml:space="preserve">/Сертификат </w:t>
      </w:r>
      <w:proofErr w:type="spellStart"/>
      <w:r>
        <w:rPr>
          <w:sz w:val="20"/>
        </w:rPr>
        <w:t>контейнмента</w:t>
      </w:r>
      <w:proofErr w:type="spellEnd"/>
      <w:r>
        <w:rPr>
          <w:sz w:val="20"/>
        </w:rPr>
        <w:t xml:space="preserve">, организация должна разработать план корректирующих мер (см. </w:t>
      </w:r>
      <w:hyperlink r:id="rId14" w:anchor="ccsforms" w:history="1">
        <w:r w:rsidRPr="00CD688D">
          <w:rPr>
            <w:rStyle w:val="Hyperlink"/>
            <w:sz w:val="20"/>
          </w:rPr>
          <w:t>Выводы аудиторской проверки и план корректирующих мер</w:t>
        </w:r>
      </w:hyperlink>
      <w:r w:rsidRPr="00CD688D">
        <w:rPr>
          <w:sz w:val="20"/>
        </w:rPr>
        <w:t xml:space="preserve"> в целях сертификации </w:t>
      </w:r>
      <w:proofErr w:type="spellStart"/>
      <w:r w:rsidRPr="00CD688D">
        <w:rPr>
          <w:sz w:val="20"/>
        </w:rPr>
        <w:t>контейнмента</w:t>
      </w:r>
      <w:proofErr w:type="spellEnd"/>
      <w:r w:rsidRPr="00CD688D">
        <w:rPr>
          <w:sz w:val="20"/>
        </w:rPr>
        <w:t xml:space="preserve"> в рамках ГПД-III) и представить его в НОК для проверки и утверждения. В разработанном ПКМ должно быть предусмотрено указание:</w:t>
      </w:r>
    </w:p>
    <w:p w:rsidR="001661D4" w:rsidRPr="004E350B" w:rsidRDefault="001661D4" w:rsidP="00B47C7E">
      <w:pPr>
        <w:jc w:val="both"/>
        <w:rPr>
          <w:rFonts w:cs="Arial"/>
          <w:sz w:val="20"/>
          <w:szCs w:val="18"/>
        </w:rPr>
      </w:pPr>
    </w:p>
    <w:p w:rsidR="001661D4" w:rsidRPr="004E350B" w:rsidRDefault="00986EE1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</w:rPr>
      </w:pPr>
      <w:r>
        <w:rPr>
          <w:sz w:val="20"/>
        </w:rPr>
        <w:t xml:space="preserve">основных причин, приведших к каждому НС; </w:t>
      </w:r>
    </w:p>
    <w:p w:rsidR="00B40386" w:rsidRDefault="0076424F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</w:rPr>
      </w:pPr>
      <w:r>
        <w:rPr>
          <w:sz w:val="20"/>
        </w:rPr>
        <w:t xml:space="preserve">запланированных/принятых корректирующих мер; </w:t>
      </w:r>
    </w:p>
    <w:p w:rsidR="001661D4" w:rsidRPr="00B40386" w:rsidRDefault="00986EE1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</w:rPr>
      </w:pPr>
      <w:r>
        <w:rPr>
          <w:sz w:val="20"/>
        </w:rPr>
        <w:t xml:space="preserve">изменений/мер контроля, которые будут введены во избежание повторного возникновения НС; </w:t>
      </w:r>
    </w:p>
    <w:p w:rsidR="001661D4" w:rsidRPr="004E350B" w:rsidRDefault="00986EE1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</w:rPr>
      </w:pPr>
      <w:r>
        <w:rPr>
          <w:sz w:val="20"/>
        </w:rPr>
        <w:t xml:space="preserve">временных рамок и сотрудников, ответственных за осуществление корректирующих мер; </w:t>
      </w:r>
    </w:p>
    <w:p w:rsidR="001661D4" w:rsidRPr="004E350B" w:rsidRDefault="00986EE1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</w:rPr>
      </w:pPr>
      <w:r>
        <w:rPr>
          <w:sz w:val="20"/>
        </w:rPr>
        <w:t xml:space="preserve">показателя (показателей) эффективности и/или других подтверждающих фактических данных, которые будут отслеживаться для того, чтобы обеспечить эффективность принятых корректирующих мер. </w:t>
      </w:r>
    </w:p>
    <w:p w:rsidR="001661D4" w:rsidRPr="004E350B" w:rsidRDefault="001661D4" w:rsidP="00B47C7E">
      <w:pPr>
        <w:jc w:val="both"/>
        <w:rPr>
          <w:rFonts w:cs="Arial"/>
          <w:sz w:val="20"/>
          <w:szCs w:val="18"/>
        </w:rPr>
      </w:pPr>
    </w:p>
    <w:p w:rsidR="00ED7395" w:rsidRPr="00E226D5" w:rsidRDefault="001661D4" w:rsidP="00E226D5">
      <w:pPr>
        <w:jc w:val="both"/>
        <w:rPr>
          <w:rFonts w:cs="Arial"/>
          <w:sz w:val="20"/>
          <w:szCs w:val="18"/>
        </w:rPr>
      </w:pPr>
      <w:r>
        <w:rPr>
          <w:sz w:val="20"/>
        </w:rPr>
        <w:t>ПКМ должен быть представлен соответствующему НОК в течение 40 дней от получения данного заключения.</w:t>
      </w:r>
    </w:p>
    <w:p w:rsidR="00986EE1" w:rsidRPr="004E350B" w:rsidRDefault="00986EE1" w:rsidP="00B0595B">
      <w:pPr>
        <w:pStyle w:val="Subtitle"/>
        <w:jc w:val="left"/>
        <w:rPr>
          <w:rFonts w:cs="Arial"/>
          <w:sz w:val="20"/>
          <w:szCs w:val="21"/>
        </w:rPr>
      </w:pPr>
    </w:p>
    <w:p w:rsidR="00995CB6" w:rsidRPr="004E350B" w:rsidRDefault="00995CB6" w:rsidP="00995CB6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Следующая аудиторская проверка:</w:t>
      </w:r>
    </w:p>
    <w:p w:rsidR="00995CB6" w:rsidRDefault="00995CB6" w:rsidP="00E012BA">
      <w:pPr>
        <w:pStyle w:val="Subtitle"/>
        <w:jc w:val="left"/>
        <w:rPr>
          <w:rFonts w:cs="Arial"/>
          <w:b w:val="0"/>
          <w:sz w:val="20"/>
          <w:szCs w:val="21"/>
        </w:rPr>
      </w:pPr>
    </w:p>
    <w:tbl>
      <w:tblPr>
        <w:tblW w:w="9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2948"/>
        <w:gridCol w:w="363"/>
        <w:gridCol w:w="2948"/>
        <w:gridCol w:w="363"/>
        <w:gridCol w:w="2948"/>
      </w:tblGrid>
      <w:tr w:rsidR="00B1771F" w:rsidRPr="00B1771F" w:rsidTr="00B1771F">
        <w:tc>
          <w:tcPr>
            <w:tcW w:w="363" w:type="dxa"/>
            <w:shd w:val="clear" w:color="auto" w:fill="auto"/>
          </w:tcPr>
          <w:p w:rsidR="00B1771F" w:rsidRPr="00B1771F" w:rsidRDefault="00B1771F" w:rsidP="00A8525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1771F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71F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1771F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:rsidR="00B1771F" w:rsidRPr="00B1771F" w:rsidRDefault="00B1771F" w:rsidP="00A8525C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 xml:space="preserve">Первичный аудит </w:t>
            </w:r>
          </w:p>
        </w:tc>
        <w:tc>
          <w:tcPr>
            <w:tcW w:w="363" w:type="dxa"/>
            <w:shd w:val="clear" w:color="auto" w:fill="auto"/>
          </w:tcPr>
          <w:p w:rsidR="00B1771F" w:rsidRPr="00B1771F" w:rsidRDefault="00B1771F" w:rsidP="00A8525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1771F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71F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1771F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</w:tcPr>
          <w:p w:rsidR="00B1771F" w:rsidRPr="00B1771F" w:rsidRDefault="00B1771F" w:rsidP="00A8525C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>Периодический аудит</w:t>
            </w:r>
          </w:p>
        </w:tc>
        <w:tc>
          <w:tcPr>
            <w:tcW w:w="363" w:type="dxa"/>
          </w:tcPr>
          <w:p w:rsidR="00B1771F" w:rsidRPr="00B1771F" w:rsidRDefault="00B1771F" w:rsidP="00A8525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1771F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71F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1771F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</w:tcPr>
          <w:p w:rsidR="00B1771F" w:rsidRPr="00B1771F" w:rsidRDefault="00B1771F" w:rsidP="00A8525C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 xml:space="preserve">Аудит в целях </w:t>
            </w:r>
            <w:proofErr w:type="spellStart"/>
            <w:r>
              <w:rPr>
                <w:b/>
                <w:sz w:val="20"/>
              </w:rPr>
              <w:t>ресертификации</w:t>
            </w:r>
            <w:proofErr w:type="spellEnd"/>
          </w:p>
        </w:tc>
      </w:tr>
    </w:tbl>
    <w:p w:rsidR="00B1771F" w:rsidRDefault="00B1771F" w:rsidP="00E012BA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CA24DC" w:rsidRPr="004E350B" w:rsidRDefault="00B1771F" w:rsidP="00B1771F">
      <w:pPr>
        <w:pStyle w:val="Subtitle"/>
        <w:jc w:val="left"/>
        <w:rPr>
          <w:rFonts w:cs="Arial"/>
          <w:b w:val="0"/>
          <w:sz w:val="20"/>
          <w:szCs w:val="21"/>
        </w:rPr>
      </w:pPr>
      <w:r>
        <w:rPr>
          <w:b w:val="0"/>
          <w:sz w:val="20"/>
        </w:rPr>
        <w:t>Предлагаемая дата:</w:t>
      </w:r>
    </w:p>
    <w:p w:rsidR="00E05392" w:rsidRPr="004E350B" w:rsidRDefault="00E05392" w:rsidP="00B1771F">
      <w:pPr>
        <w:rPr>
          <w:rFonts w:cs="Arial"/>
          <w:b/>
          <w:sz w:val="18"/>
          <w:szCs w:val="18"/>
        </w:rPr>
      </w:pPr>
    </w:p>
    <w:p w:rsidR="00CA24DC" w:rsidRPr="004E350B" w:rsidRDefault="00CA24DC" w:rsidP="00CA24DC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Другие приложения:</w:t>
      </w:r>
    </w:p>
    <w:p w:rsidR="00CA24DC" w:rsidRPr="004E350B" w:rsidRDefault="00CA24DC" w:rsidP="00CA24DC">
      <w:pPr>
        <w:pStyle w:val="Subtitle"/>
        <w:jc w:val="left"/>
        <w:rPr>
          <w:rFonts w:cs="Arial"/>
          <w:b w:val="0"/>
          <w:sz w:val="20"/>
          <w:szCs w:val="21"/>
        </w:rPr>
      </w:pPr>
    </w:p>
    <w:tbl>
      <w:tblPr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36"/>
        <w:gridCol w:w="2489"/>
        <w:gridCol w:w="315"/>
        <w:gridCol w:w="2880"/>
        <w:gridCol w:w="540"/>
        <w:gridCol w:w="3420"/>
      </w:tblGrid>
      <w:tr w:rsidR="004E350B" w:rsidRPr="004E350B" w:rsidTr="004F39FC">
        <w:tc>
          <w:tcPr>
            <w:tcW w:w="436" w:type="dxa"/>
            <w:shd w:val="clear" w:color="auto" w:fill="auto"/>
          </w:tcPr>
          <w:p w:rsidR="00E573E5" w:rsidRPr="004E350B" w:rsidRDefault="00E573E5" w:rsidP="00E573E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:rsidR="00E573E5" w:rsidRPr="004E350B" w:rsidRDefault="004F39FC" w:rsidP="00E573E5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План аудиторской проверки</w:t>
            </w:r>
          </w:p>
        </w:tc>
        <w:tc>
          <w:tcPr>
            <w:tcW w:w="315" w:type="dxa"/>
            <w:shd w:val="clear" w:color="auto" w:fill="auto"/>
          </w:tcPr>
          <w:p w:rsidR="00E573E5" w:rsidRPr="004E350B" w:rsidRDefault="00E573E5" w:rsidP="00E573E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E573E5" w:rsidRPr="004E350B" w:rsidRDefault="004F39FC" w:rsidP="00E573E5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Перечень выводов</w:t>
            </w:r>
          </w:p>
        </w:tc>
        <w:tc>
          <w:tcPr>
            <w:tcW w:w="540" w:type="dxa"/>
            <w:shd w:val="clear" w:color="auto" w:fill="auto"/>
          </w:tcPr>
          <w:p w:rsidR="00E573E5" w:rsidRPr="004E350B" w:rsidRDefault="00E573E5" w:rsidP="00E573E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E573E5" w:rsidRPr="004E350B" w:rsidRDefault="00E573E5" w:rsidP="004F39FC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>Краткое перечисление ключевых контактов проверяемой организации</w:t>
            </w:r>
          </w:p>
        </w:tc>
      </w:tr>
      <w:tr w:rsidR="00E573E5" w:rsidRPr="004E350B" w:rsidTr="004F39FC">
        <w:tc>
          <w:tcPr>
            <w:tcW w:w="436" w:type="dxa"/>
            <w:shd w:val="clear" w:color="auto" w:fill="auto"/>
          </w:tcPr>
          <w:p w:rsidR="00E573E5" w:rsidRPr="004E350B" w:rsidRDefault="00E573E5" w:rsidP="00E573E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1070">
              <w:rPr>
                <w:rFonts w:eastAsia="Times New Roman" w:cs="Arial"/>
                <w:sz w:val="18"/>
                <w:szCs w:val="18"/>
              </w:rPr>
            </w:r>
            <w:r w:rsidR="00CE1070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350B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:rsidR="00E573E5" w:rsidRPr="004E350B" w:rsidRDefault="00461A01" w:rsidP="004F39FC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>Иное (просьба уточнить):</w:t>
            </w:r>
          </w:p>
        </w:tc>
        <w:tc>
          <w:tcPr>
            <w:tcW w:w="71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73E5" w:rsidRPr="004E350B" w:rsidRDefault="00E573E5" w:rsidP="00E573E5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CE1070" w:rsidRDefault="00CE1070" w:rsidP="00D745F6">
      <w:pPr>
        <w:pStyle w:val="Subtitle"/>
        <w:jc w:val="left"/>
        <w:rPr>
          <w:sz w:val="28"/>
          <w:lang w:val="en-GB"/>
        </w:rPr>
      </w:pPr>
    </w:p>
    <w:p w:rsidR="00CE1070" w:rsidRDefault="00CE1070" w:rsidP="00D745F6">
      <w:pPr>
        <w:pStyle w:val="Subtitle"/>
        <w:jc w:val="left"/>
        <w:rPr>
          <w:sz w:val="28"/>
          <w:lang w:val="en-GB"/>
        </w:rPr>
      </w:pPr>
    </w:p>
    <w:p w:rsidR="00D745F6" w:rsidRPr="004E350B" w:rsidRDefault="00986EE1" w:rsidP="00D745F6">
      <w:pPr>
        <w:pStyle w:val="Subtitle"/>
        <w:jc w:val="left"/>
        <w:rPr>
          <w:rFonts w:cs="Arial"/>
          <w:sz w:val="28"/>
          <w:szCs w:val="21"/>
        </w:rPr>
      </w:pPr>
      <w:r>
        <w:rPr>
          <w:sz w:val="28"/>
        </w:rPr>
        <w:t>УСЛОВИЯ И ПОЛОЖЕНИЯ</w:t>
      </w:r>
    </w:p>
    <w:p w:rsidR="00D745F6" w:rsidRPr="00B1771F" w:rsidRDefault="00D745F6" w:rsidP="00D745F6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D745F6" w:rsidRPr="00B1771F" w:rsidRDefault="00D745F6" w:rsidP="00D745F6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D745F6" w:rsidRPr="004E350B" w:rsidRDefault="00461A01" w:rsidP="00D745F6">
      <w:pPr>
        <w:pStyle w:val="Subtitle"/>
        <w:spacing w:after="120"/>
        <w:jc w:val="left"/>
        <w:rPr>
          <w:rFonts w:cs="Arial"/>
          <w:sz w:val="20"/>
          <w:szCs w:val="21"/>
        </w:rPr>
      </w:pPr>
      <w:r>
        <w:rPr>
          <w:sz w:val="20"/>
        </w:rPr>
        <w:t>Заявление о конфиденциальности</w:t>
      </w:r>
    </w:p>
    <w:p w:rsidR="00D745F6" w:rsidRPr="004E350B" w:rsidRDefault="00D745F6" w:rsidP="00B47C7E">
      <w:pPr>
        <w:spacing w:before="60" w:after="60"/>
        <w:jc w:val="both"/>
        <w:rPr>
          <w:rFonts w:cs="Arial"/>
          <w:sz w:val="20"/>
          <w:szCs w:val="18"/>
        </w:rPr>
      </w:pPr>
      <w:r>
        <w:rPr>
          <w:sz w:val="20"/>
        </w:rPr>
        <w:t>Содержание настоящего аудиторского заключения, включая любые примечания и контрольные списки, возникшие в ходе аудиторской проверки, должно содержаться в условиях строжайшей конфиденциальности. Оно не подлежит разглашению никаким третьим сторонам без письменного разрешения организации, прошедшей аудиторскую проверку, если только этого не потребуют соответствующие органы власти.</w:t>
      </w:r>
    </w:p>
    <w:p w:rsidR="00D745F6" w:rsidRPr="004E350B" w:rsidRDefault="00D745F6" w:rsidP="00D745F6">
      <w:pPr>
        <w:spacing w:before="60" w:after="60"/>
        <w:rPr>
          <w:rFonts w:cs="Arial"/>
          <w:sz w:val="20"/>
          <w:szCs w:val="18"/>
        </w:rPr>
      </w:pPr>
    </w:p>
    <w:p w:rsidR="00D745F6" w:rsidRPr="004E350B" w:rsidRDefault="00D745F6" w:rsidP="00D745F6">
      <w:pPr>
        <w:pStyle w:val="Subtitle"/>
        <w:spacing w:after="120"/>
        <w:jc w:val="left"/>
        <w:rPr>
          <w:rFonts w:cs="Arial"/>
          <w:sz w:val="20"/>
          <w:szCs w:val="21"/>
        </w:rPr>
      </w:pPr>
      <w:r>
        <w:rPr>
          <w:sz w:val="20"/>
        </w:rPr>
        <w:t>Заявление об ограничении ответственности</w:t>
      </w:r>
    </w:p>
    <w:p w:rsidR="00D745F6" w:rsidRPr="004E350B" w:rsidRDefault="00D745F6" w:rsidP="00B47C7E">
      <w:pPr>
        <w:spacing w:before="60" w:after="60"/>
        <w:jc w:val="both"/>
        <w:rPr>
          <w:rFonts w:cs="Arial"/>
          <w:sz w:val="20"/>
          <w:szCs w:val="18"/>
        </w:rPr>
      </w:pPr>
      <w:r>
        <w:rPr>
          <w:sz w:val="20"/>
        </w:rPr>
        <w:t xml:space="preserve">Система управления </w:t>
      </w:r>
      <w:proofErr w:type="spellStart"/>
      <w:r>
        <w:rPr>
          <w:sz w:val="20"/>
        </w:rPr>
        <w:t>биорисками</w:t>
      </w:r>
      <w:proofErr w:type="spellEnd"/>
      <w:r>
        <w:rPr>
          <w:sz w:val="20"/>
        </w:rPr>
        <w:t xml:space="preserve"> в рамках ГПД-III основана на проверке выборки доступной информации в ходе аудита. Это вносит элемент неопределенности в выводы аудиторской проверки, и даже если не будет выявлено ни одного несоответствия, это не означает, что они полностью отсутствуют в проверенной области и/или других областях.</w:t>
      </w:r>
    </w:p>
    <w:p w:rsidR="00D745F6" w:rsidRPr="004E350B" w:rsidRDefault="00D745F6" w:rsidP="00D745F6">
      <w:pPr>
        <w:spacing w:before="60" w:after="60"/>
        <w:rPr>
          <w:rFonts w:cs="Arial"/>
          <w:b/>
          <w:sz w:val="18"/>
          <w:szCs w:val="18"/>
        </w:rPr>
      </w:pPr>
    </w:p>
    <w:p w:rsidR="00D745F6" w:rsidRPr="004E350B" w:rsidRDefault="00D745F6" w:rsidP="00D745F6">
      <w:pPr>
        <w:spacing w:before="60" w:after="60"/>
        <w:rPr>
          <w:rFonts w:cs="Arial"/>
          <w:b/>
          <w:sz w:val="18"/>
          <w:szCs w:val="18"/>
        </w:rPr>
      </w:pPr>
    </w:p>
    <w:p w:rsidR="00F87212" w:rsidRPr="004E350B" w:rsidRDefault="006D3D95" w:rsidP="00F87212">
      <w:pPr>
        <w:pStyle w:val="Subtitle"/>
        <w:jc w:val="left"/>
        <w:rPr>
          <w:rFonts w:cs="Arial"/>
          <w:sz w:val="28"/>
          <w:szCs w:val="21"/>
        </w:rPr>
      </w:pPr>
      <w:r>
        <w:br w:type="page"/>
      </w:r>
      <w:r>
        <w:rPr>
          <w:sz w:val="28"/>
        </w:rPr>
        <w:lastRenderedPageBreak/>
        <w:t xml:space="preserve">ОПРЕДЕЛЕНИЯ ВЫВОДОВ </w:t>
      </w:r>
    </w:p>
    <w:p w:rsidR="00F87212" w:rsidRPr="004E350B" w:rsidRDefault="00F87212" w:rsidP="00F87212">
      <w:pPr>
        <w:pStyle w:val="Subtitle"/>
        <w:jc w:val="left"/>
        <w:rPr>
          <w:rFonts w:cs="Arial"/>
          <w:szCs w:val="22"/>
        </w:rPr>
      </w:pPr>
    </w:p>
    <w:p w:rsidR="00F87212" w:rsidRPr="004E350B" w:rsidRDefault="00F87212" w:rsidP="00F87212">
      <w:pPr>
        <w:pStyle w:val="Subtitle"/>
        <w:spacing w:after="120"/>
        <w:jc w:val="left"/>
        <w:rPr>
          <w:rFonts w:cs="Arial"/>
          <w:szCs w:val="22"/>
        </w:rPr>
      </w:pPr>
      <w:r>
        <w:t>Существенное НС (категории 1):</w:t>
      </w:r>
    </w:p>
    <w:p w:rsidR="003D3BF8" w:rsidRPr="004E350B" w:rsidRDefault="00B47C7E" w:rsidP="00B47C7E">
      <w:pPr>
        <w:pStyle w:val="Subtitle"/>
        <w:spacing w:after="120"/>
        <w:jc w:val="both"/>
        <w:rPr>
          <w:rFonts w:cs="Arial"/>
          <w:b w:val="0"/>
          <w:bCs w:val="0"/>
          <w:szCs w:val="22"/>
        </w:rPr>
      </w:pPr>
      <w:r>
        <w:rPr>
          <w:b w:val="0"/>
        </w:rPr>
        <w:t>Следующие НС должны быть отнесены к существенным (НС1):</w:t>
      </w:r>
    </w:p>
    <w:p w:rsidR="003D3BF8" w:rsidRPr="004E350B" w:rsidRDefault="003D3BF8" w:rsidP="00B47C7E">
      <w:pPr>
        <w:numPr>
          <w:ilvl w:val="0"/>
          <w:numId w:val="9"/>
        </w:numPr>
        <w:spacing w:after="120"/>
        <w:ind w:left="547"/>
        <w:jc w:val="both"/>
      </w:pPr>
      <w:r>
        <w:t>Отсутствие одного или более обязательных элементов системы или ситуация, которая вызывает серьезные сомнения в том, что деятельность соответствует сформулированным требованиям;</w:t>
      </w:r>
    </w:p>
    <w:p w:rsidR="003D3BF8" w:rsidRPr="004E350B" w:rsidRDefault="003D3BF8" w:rsidP="00B47C7E">
      <w:pPr>
        <w:numPr>
          <w:ilvl w:val="0"/>
          <w:numId w:val="9"/>
        </w:numPr>
        <w:spacing w:after="120"/>
        <w:ind w:left="547"/>
        <w:jc w:val="both"/>
      </w:pPr>
      <w:r>
        <w:t>Группа НС категории 2, которые указывают на ненадлежащее осуществление или неэффективность в отношении одного из требований ГПД-III;</w:t>
      </w:r>
    </w:p>
    <w:p w:rsidR="003D3BF8" w:rsidRPr="004E350B" w:rsidRDefault="003D3BF8" w:rsidP="00B47C7E">
      <w:pPr>
        <w:numPr>
          <w:ilvl w:val="0"/>
          <w:numId w:val="9"/>
        </w:numPr>
        <w:spacing w:after="120"/>
        <w:ind w:left="547"/>
        <w:jc w:val="both"/>
      </w:pPr>
      <w:r>
        <w:t>НС категории 2, носящее устойчивый характер (или вопреки договоренности не устраненное учреждением);</w:t>
      </w:r>
    </w:p>
    <w:p w:rsidR="003D3BF8" w:rsidRPr="004E350B" w:rsidRDefault="003D3BF8" w:rsidP="00B47C7E">
      <w:pPr>
        <w:numPr>
          <w:ilvl w:val="0"/>
          <w:numId w:val="9"/>
        </w:numPr>
        <w:spacing w:after="120"/>
        <w:ind w:left="547"/>
        <w:jc w:val="both"/>
      </w:pPr>
      <w:r>
        <w:t xml:space="preserve">Ситуация, которая, исходя из имеющихся объективных фактических данных, может непосредственно привести к неприемлемому риску несоблюдения мер </w:t>
      </w:r>
      <w:proofErr w:type="spellStart"/>
      <w:r>
        <w:t>контейнмента</w:t>
      </w:r>
      <w:proofErr w:type="spellEnd"/>
      <w:r>
        <w:t>, описанных в ГПД-III.</w:t>
      </w:r>
    </w:p>
    <w:p w:rsidR="00260C85" w:rsidRPr="004E350B" w:rsidRDefault="00260C85" w:rsidP="00B47C7E">
      <w:pPr>
        <w:jc w:val="both"/>
        <w:rPr>
          <w:rFonts w:cs="Arial"/>
        </w:rPr>
      </w:pPr>
    </w:p>
    <w:p w:rsidR="00D41E5E" w:rsidRPr="004E350B" w:rsidRDefault="00D41E5E" w:rsidP="00B47C7E">
      <w:pPr>
        <w:pStyle w:val="Subtitle"/>
        <w:spacing w:after="120"/>
        <w:jc w:val="both"/>
        <w:rPr>
          <w:rFonts w:cs="Arial"/>
          <w:szCs w:val="22"/>
        </w:rPr>
      </w:pPr>
      <w:r>
        <w:t>Несущественное НС (категории 2):</w:t>
      </w:r>
    </w:p>
    <w:p w:rsidR="00260C85" w:rsidRPr="004E350B" w:rsidRDefault="00260C85" w:rsidP="00B47C7E">
      <w:pPr>
        <w:jc w:val="both"/>
      </w:pPr>
      <w:r>
        <w:t xml:space="preserve">НС следует относить к категории несущественных (НС2), если доказанное нарушение дисциплины или несоблюдение контрольных мер со стороны учреждения во время внедрения системы/выполнения процедурных требований не свидетельствует о системном сбое или не заставляет усомниться в том, что контрольные меры соответствуют требованиям. В этом случае делается вывод о том, что несмотря на выявленные проблемные моменты, в целом система определена, введена в действие и функционирует эффективно. </w:t>
      </w:r>
    </w:p>
    <w:p w:rsidR="000866B4" w:rsidRPr="004E350B" w:rsidRDefault="000866B4" w:rsidP="00B47C7E">
      <w:pPr>
        <w:jc w:val="both"/>
      </w:pPr>
    </w:p>
    <w:p w:rsidR="000866B4" w:rsidRPr="004E350B" w:rsidRDefault="000866B4" w:rsidP="00B47C7E">
      <w:pPr>
        <w:pStyle w:val="Subtitle"/>
        <w:jc w:val="both"/>
        <w:rPr>
          <w:rFonts w:cs="Arial"/>
          <w:szCs w:val="22"/>
        </w:rPr>
      </w:pPr>
      <w:r>
        <w:t>Значительные усилия:</w:t>
      </w:r>
    </w:p>
    <w:p w:rsidR="00260C85" w:rsidRPr="004E350B" w:rsidRDefault="00260C85" w:rsidP="00B47C7E">
      <w:pPr>
        <w:pStyle w:val="Subtitle"/>
        <w:jc w:val="both"/>
        <w:rPr>
          <w:szCs w:val="22"/>
        </w:rPr>
      </w:pPr>
    </w:p>
    <w:p w:rsidR="000866B4" w:rsidRPr="004E350B" w:rsidRDefault="00260C85" w:rsidP="00B47C7E">
      <w:pPr>
        <w:jc w:val="both"/>
      </w:pPr>
      <w:r>
        <w:t>Значительные усилия определяются следующим образом:</w:t>
      </w:r>
    </w:p>
    <w:p w:rsidR="000866B4" w:rsidRPr="004E350B" w:rsidRDefault="000866B4" w:rsidP="00B47C7E">
      <w:pPr>
        <w:jc w:val="both"/>
      </w:pPr>
    </w:p>
    <w:p w:rsidR="000866B4" w:rsidRPr="004E350B" w:rsidRDefault="000866B4" w:rsidP="00B47C7E">
      <w:pPr>
        <w:numPr>
          <w:ilvl w:val="0"/>
          <w:numId w:val="9"/>
        </w:numPr>
        <w:ind w:left="547"/>
        <w:jc w:val="both"/>
      </w:pPr>
      <w:r>
        <w:t>применение передового опыта</w:t>
      </w:r>
    </w:p>
    <w:p w:rsidR="000866B4" w:rsidRPr="004E350B" w:rsidRDefault="000866B4" w:rsidP="00B47C7E">
      <w:pPr>
        <w:numPr>
          <w:ilvl w:val="0"/>
          <w:numId w:val="9"/>
        </w:numPr>
        <w:ind w:left="547"/>
        <w:jc w:val="both"/>
      </w:pPr>
      <w:r>
        <w:t>подтвержденные улучшения</w:t>
      </w:r>
    </w:p>
    <w:p w:rsidR="000866B4" w:rsidRPr="004E350B" w:rsidRDefault="000866B4" w:rsidP="00B47C7E">
      <w:pPr>
        <w:numPr>
          <w:ilvl w:val="0"/>
          <w:numId w:val="9"/>
        </w:numPr>
        <w:ind w:left="547"/>
        <w:jc w:val="both"/>
      </w:pPr>
      <w:r>
        <w:t>высокая степень активности</w:t>
      </w:r>
    </w:p>
    <w:p w:rsidR="000866B4" w:rsidRPr="004E350B" w:rsidRDefault="000866B4" w:rsidP="00B47C7E">
      <w:pPr>
        <w:numPr>
          <w:ilvl w:val="0"/>
          <w:numId w:val="9"/>
        </w:numPr>
        <w:ind w:left="547"/>
        <w:jc w:val="both"/>
      </w:pPr>
      <w:r>
        <w:t>мотивация</w:t>
      </w:r>
    </w:p>
    <w:p w:rsidR="000866B4" w:rsidRPr="004E350B" w:rsidRDefault="000866B4" w:rsidP="00B47C7E">
      <w:pPr>
        <w:numPr>
          <w:ilvl w:val="0"/>
          <w:numId w:val="9"/>
        </w:numPr>
        <w:ind w:left="547"/>
        <w:jc w:val="both"/>
      </w:pPr>
      <w:r>
        <w:t>оптимизация системы</w:t>
      </w:r>
    </w:p>
    <w:p w:rsidR="000866B4" w:rsidRPr="004E350B" w:rsidRDefault="000866B4" w:rsidP="00B47C7E">
      <w:pPr>
        <w:jc w:val="both"/>
      </w:pPr>
    </w:p>
    <w:p w:rsidR="000866B4" w:rsidRPr="004E350B" w:rsidRDefault="00260C85" w:rsidP="00B47C7E">
      <w:pPr>
        <w:jc w:val="both"/>
      </w:pPr>
      <w:r>
        <w:t>Отчет о значительных усилиях должен быть представлен на заключительном совещании и в аудиторском заключении. Информация о них не включается в список выводов.</w:t>
      </w:r>
    </w:p>
    <w:p w:rsidR="000866B4" w:rsidRPr="004E350B" w:rsidRDefault="000866B4" w:rsidP="00B47C7E">
      <w:pPr>
        <w:jc w:val="both"/>
        <w:rPr>
          <w:sz w:val="24"/>
          <w:szCs w:val="24"/>
        </w:rPr>
      </w:pPr>
    </w:p>
    <w:p w:rsidR="00D41E5E" w:rsidRPr="004E350B" w:rsidRDefault="00607192" w:rsidP="00B47C7E">
      <w:pPr>
        <w:pStyle w:val="Subtitle"/>
        <w:jc w:val="both"/>
        <w:rPr>
          <w:rFonts w:cs="Arial"/>
          <w:szCs w:val="22"/>
        </w:rPr>
      </w:pPr>
      <w:r>
        <w:t>Замечание:</w:t>
      </w:r>
    </w:p>
    <w:p w:rsidR="00260C85" w:rsidRPr="004E350B" w:rsidRDefault="00260C85" w:rsidP="00B47C7E">
      <w:pPr>
        <w:pStyle w:val="Subtitle"/>
        <w:jc w:val="both"/>
        <w:rPr>
          <w:rFonts w:cs="Arial"/>
          <w:szCs w:val="22"/>
        </w:rPr>
      </w:pPr>
    </w:p>
    <w:p w:rsidR="00607192" w:rsidRPr="004E350B" w:rsidRDefault="00607192" w:rsidP="00B47C7E">
      <w:pPr>
        <w:jc w:val="both"/>
      </w:pPr>
      <w:r>
        <w:t>Замечание не является НС, однако оно может привести к регистрации НС, если ситуация не будет исправлена в дальнейшем; либо оно указывает на имеющееся обстоятельство, о котором нет надлежащих подтверждающим фактических данных, позволяющих сделать вывод о том, что оно представляет собой НС.</w:t>
      </w:r>
    </w:p>
    <w:p w:rsidR="00607192" w:rsidRPr="004E350B" w:rsidRDefault="00607192" w:rsidP="00B47C7E">
      <w:pPr>
        <w:jc w:val="both"/>
      </w:pPr>
    </w:p>
    <w:p w:rsidR="006D3D95" w:rsidRPr="004E350B" w:rsidRDefault="006D3D95" w:rsidP="00B47C7E">
      <w:pPr>
        <w:pStyle w:val="Subtitle"/>
        <w:jc w:val="both"/>
        <w:rPr>
          <w:rFonts w:cs="Arial"/>
          <w:szCs w:val="22"/>
        </w:rPr>
      </w:pPr>
      <w:r>
        <w:t>Возможность для улучшений:</w:t>
      </w:r>
    </w:p>
    <w:p w:rsidR="00260C85" w:rsidRPr="004E350B" w:rsidRDefault="00260C85" w:rsidP="00B47C7E">
      <w:pPr>
        <w:pStyle w:val="Subtitle"/>
        <w:jc w:val="both"/>
        <w:rPr>
          <w:rFonts w:cs="Arial"/>
          <w:szCs w:val="22"/>
        </w:rPr>
      </w:pPr>
    </w:p>
    <w:p w:rsidR="00260C85" w:rsidRPr="004E350B" w:rsidRDefault="00260C85" w:rsidP="00B47C7E">
      <w:pPr>
        <w:jc w:val="both"/>
      </w:pPr>
      <w:r>
        <w:t>Возможность для улучшений касается областей и/или процессов, которые, возможно, соответствуют минимальным требованиям ГПД-III, но могут быть улучшены. Возможность для улучшений может иметь отношение к системе или эффективности деятельности и, как правило, осуществляется на основе опыта аудиторской группы, знакомства с передовой международной практикой, применяемой в других учреждениях, или с практикой, применяемой в других отделах/департаментах учреждения.</w:t>
      </w:r>
    </w:p>
    <w:p w:rsidR="006D3D95" w:rsidRPr="00CE1070" w:rsidRDefault="006D3D95" w:rsidP="00B47C7E">
      <w:pPr>
        <w:jc w:val="both"/>
        <w:rPr>
          <w:lang w:val="en-GB"/>
        </w:rPr>
      </w:pPr>
      <w:bookmarkStart w:id="0" w:name="_GoBack"/>
      <w:bookmarkEnd w:id="0"/>
    </w:p>
    <w:sectPr w:rsidR="006D3D95" w:rsidRPr="00CE1070" w:rsidSect="001721A7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381" w:right="1008" w:bottom="864" w:left="1008" w:header="709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1B" w:rsidRDefault="008A4F1B">
      <w:r>
        <w:separator/>
      </w:r>
    </w:p>
  </w:endnote>
  <w:endnote w:type="continuationSeparator" w:id="0">
    <w:p w:rsidR="008A4F1B" w:rsidRDefault="008A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1F" w:rsidRPr="00E60AC3" w:rsidRDefault="00E60AC3" w:rsidP="00E60AC3">
    <w:pPr>
      <w:pStyle w:val="Footer"/>
      <w:tabs>
        <w:tab w:val="clear" w:pos="4320"/>
        <w:tab w:val="clear" w:pos="8640"/>
      </w:tabs>
      <w:ind w:right="-32"/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8"/>
      </w:rPr>
      <w:t xml:space="preserve">                        </w:t>
    </w:r>
    <w:r>
      <w:tab/>
    </w:r>
    <w:r>
      <w:rPr>
        <w:sz w:val="18"/>
      </w:rPr>
      <w:t xml:space="preserve">                     Страница </w:t>
    </w:r>
    <w:r w:rsidR="00D96F1F" w:rsidRPr="00E60AC3">
      <w:rPr>
        <w:b/>
        <w:bCs/>
        <w:sz w:val="18"/>
        <w:szCs w:val="18"/>
      </w:rPr>
      <w:fldChar w:fldCharType="begin"/>
    </w:r>
    <w:r w:rsidR="00D96F1F" w:rsidRPr="00E60AC3">
      <w:rPr>
        <w:b/>
        <w:bCs/>
        <w:sz w:val="18"/>
        <w:szCs w:val="18"/>
      </w:rPr>
      <w:instrText xml:space="preserve"> PAGE </w:instrText>
    </w:r>
    <w:r w:rsidR="00D96F1F" w:rsidRPr="00E60AC3">
      <w:rPr>
        <w:b/>
        <w:bCs/>
        <w:sz w:val="18"/>
        <w:szCs w:val="18"/>
      </w:rPr>
      <w:fldChar w:fldCharType="separate"/>
    </w:r>
    <w:r w:rsidR="00CE1070">
      <w:rPr>
        <w:b/>
        <w:bCs/>
        <w:noProof/>
        <w:sz w:val="18"/>
        <w:szCs w:val="18"/>
      </w:rPr>
      <w:t>6</w:t>
    </w:r>
    <w:r w:rsidR="00D96F1F" w:rsidRPr="00E60AC3">
      <w:rPr>
        <w:b/>
        <w:bCs/>
        <w:sz w:val="18"/>
        <w:szCs w:val="18"/>
      </w:rPr>
      <w:fldChar w:fldCharType="end"/>
    </w:r>
    <w:r>
      <w:rPr>
        <w:sz w:val="18"/>
      </w:rPr>
      <w:t xml:space="preserve"> из </w:t>
    </w:r>
    <w:r w:rsidR="00D96F1F" w:rsidRPr="00E60AC3">
      <w:rPr>
        <w:b/>
        <w:bCs/>
        <w:sz w:val="18"/>
        <w:szCs w:val="18"/>
      </w:rPr>
      <w:fldChar w:fldCharType="begin"/>
    </w:r>
    <w:r w:rsidR="00D96F1F" w:rsidRPr="00E60AC3">
      <w:rPr>
        <w:b/>
        <w:bCs/>
        <w:sz w:val="18"/>
        <w:szCs w:val="18"/>
      </w:rPr>
      <w:instrText xml:space="preserve"> NUMPAGES  </w:instrText>
    </w:r>
    <w:r w:rsidR="00D96F1F" w:rsidRPr="00E60AC3">
      <w:rPr>
        <w:b/>
        <w:bCs/>
        <w:sz w:val="18"/>
        <w:szCs w:val="18"/>
      </w:rPr>
      <w:fldChar w:fldCharType="separate"/>
    </w:r>
    <w:r w:rsidR="00CE1070">
      <w:rPr>
        <w:b/>
        <w:bCs/>
        <w:noProof/>
        <w:sz w:val="18"/>
        <w:szCs w:val="18"/>
      </w:rPr>
      <w:t>6</w:t>
    </w:r>
    <w:r w:rsidR="00D96F1F" w:rsidRPr="00E60AC3">
      <w:rPr>
        <w:b/>
        <w:bCs/>
        <w:sz w:val="18"/>
        <w:szCs w:val="18"/>
      </w:rPr>
      <w:fldChar w:fldCharType="end"/>
    </w:r>
  </w:p>
  <w:p w:rsidR="00607192" w:rsidRDefault="006071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92" w:rsidRPr="00607192" w:rsidRDefault="00607192" w:rsidP="00607192">
    <w:pPr>
      <w:pStyle w:val="Footer"/>
      <w:ind w:right="54"/>
      <w:rPr>
        <w:sz w:val="14"/>
        <w:szCs w:val="14"/>
      </w:rPr>
    </w:pPr>
    <w:r>
      <w:rPr>
        <w:sz w:val="14"/>
      </w:rPr>
      <w:t>Конфиденциально</w:t>
    </w:r>
    <w:r>
      <w:tab/>
    </w:r>
    <w:r>
      <w:tab/>
    </w:r>
    <w:r>
      <w:tab/>
    </w:r>
    <w:r>
      <w:rPr>
        <w:sz w:val="14"/>
      </w:rPr>
      <w:t xml:space="preserve">Страница </w:t>
    </w:r>
    <w:r w:rsidRPr="00607192">
      <w:rPr>
        <w:b/>
        <w:bCs/>
        <w:sz w:val="14"/>
        <w:szCs w:val="14"/>
      </w:rPr>
      <w:fldChar w:fldCharType="begin"/>
    </w:r>
    <w:r w:rsidRPr="00607192">
      <w:rPr>
        <w:b/>
        <w:bCs/>
        <w:sz w:val="14"/>
        <w:szCs w:val="14"/>
      </w:rPr>
      <w:instrText xml:space="preserve"> PAGE </w:instrText>
    </w:r>
    <w:r w:rsidRPr="00607192">
      <w:rPr>
        <w:b/>
        <w:bCs/>
        <w:sz w:val="14"/>
        <w:szCs w:val="14"/>
      </w:rPr>
      <w:fldChar w:fldCharType="separate"/>
    </w:r>
    <w:r w:rsidR="005B7218">
      <w:rPr>
        <w:b/>
        <w:bCs/>
        <w:noProof/>
        <w:sz w:val="14"/>
        <w:szCs w:val="14"/>
      </w:rPr>
      <w:t>1</w:t>
    </w:r>
    <w:r w:rsidRPr="00607192">
      <w:rPr>
        <w:b/>
        <w:bCs/>
        <w:sz w:val="14"/>
        <w:szCs w:val="14"/>
      </w:rPr>
      <w:fldChar w:fldCharType="end"/>
    </w:r>
    <w:r>
      <w:rPr>
        <w:sz w:val="14"/>
      </w:rPr>
      <w:t xml:space="preserve"> из </w:t>
    </w:r>
    <w:r w:rsidRPr="00607192">
      <w:rPr>
        <w:b/>
        <w:bCs/>
        <w:sz w:val="14"/>
        <w:szCs w:val="14"/>
      </w:rPr>
      <w:fldChar w:fldCharType="begin"/>
    </w:r>
    <w:r w:rsidRPr="00607192">
      <w:rPr>
        <w:b/>
        <w:bCs/>
        <w:sz w:val="14"/>
        <w:szCs w:val="14"/>
      </w:rPr>
      <w:instrText xml:space="preserve"> NUMPAGES  </w:instrText>
    </w:r>
    <w:r w:rsidRPr="00607192">
      <w:rPr>
        <w:b/>
        <w:bCs/>
        <w:sz w:val="14"/>
        <w:szCs w:val="14"/>
      </w:rPr>
      <w:fldChar w:fldCharType="separate"/>
    </w:r>
    <w:r w:rsidR="001721A7">
      <w:rPr>
        <w:b/>
        <w:bCs/>
        <w:noProof/>
        <w:sz w:val="14"/>
        <w:szCs w:val="14"/>
      </w:rPr>
      <w:t>5</w:t>
    </w:r>
    <w:r w:rsidRPr="00607192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1B" w:rsidRDefault="008A4F1B">
      <w:r>
        <w:separator/>
      </w:r>
    </w:p>
  </w:footnote>
  <w:footnote w:type="continuationSeparator" w:id="0">
    <w:p w:rsidR="008A4F1B" w:rsidRDefault="008A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8B" w:rsidRDefault="00CE10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36016" o:spid="_x0000_s2061" type="#_x0000_t136" style="position:absolute;margin-left:0;margin-top:0;width:560.55pt;height:160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49" w:rsidRPr="00CE1070" w:rsidRDefault="00CE1070" w:rsidP="00CE1070">
    <w:pPr>
      <w:pStyle w:val="Header"/>
    </w:pPr>
    <w:r>
      <w:rPr>
        <w:noProof/>
        <w:lang w:val="en-GB" w:eastAsia="zh-CN" w:bidi="ar-SA"/>
      </w:rPr>
      <w:drawing>
        <wp:anchor distT="0" distB="0" distL="114300" distR="114300" simplePos="0" relativeHeight="251660800" behindDoc="0" locked="0" layoutInCell="1" allowOverlap="1" wp14:anchorId="27261FAE" wp14:editId="7C9A2961">
          <wp:simplePos x="0" y="0"/>
          <wp:positionH relativeFrom="column">
            <wp:posOffset>2931795</wp:posOffset>
          </wp:positionH>
          <wp:positionV relativeFrom="paragraph">
            <wp:posOffset>-135890</wp:posOffset>
          </wp:positionV>
          <wp:extent cx="3514725" cy="416630"/>
          <wp:effectExtent l="0" t="0" r="0" b="2540"/>
          <wp:wrapNone/>
          <wp:docPr id="1" name="Picture 1" descr="\\WIMS.who.int\HQ\GVA11\Home\HSINGH\Desktop\CCS Everything\CCS Final\Logos\GAPIII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81" w:rsidRDefault="00CE10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36015" o:spid="_x0000_s2060" type="#_x0000_t136" style="position:absolute;margin-left:0;margin-top:0;width:560.55pt;height:160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5680">
          <v:imagedata r:id="rId1" o:title=""/>
        </v:shape>
        <o:OLEObject Type="Embed" ProgID="StaticMetafile" ShapeID="_x0000_s2058" DrawAspect="Content" ObjectID="_1549832817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07B2"/>
    <w:multiLevelType w:val="hybridMultilevel"/>
    <w:tmpl w:val="BFEA289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9266F"/>
    <w:multiLevelType w:val="hybridMultilevel"/>
    <w:tmpl w:val="6D5E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633FB"/>
    <w:multiLevelType w:val="hybridMultilevel"/>
    <w:tmpl w:val="AA70F63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2148C4"/>
    <w:multiLevelType w:val="hybridMultilevel"/>
    <w:tmpl w:val="8342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BC3A2A"/>
    <w:multiLevelType w:val="hybridMultilevel"/>
    <w:tmpl w:val="1F5C68C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93794"/>
    <w:multiLevelType w:val="hybridMultilevel"/>
    <w:tmpl w:val="AB9AE8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9463E"/>
    <w:multiLevelType w:val="hybridMultilevel"/>
    <w:tmpl w:val="177429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081E88"/>
    <w:multiLevelType w:val="hybridMultilevel"/>
    <w:tmpl w:val="D980AE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27613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1484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866B4"/>
    <w:rsid w:val="000903CA"/>
    <w:rsid w:val="00090B67"/>
    <w:rsid w:val="000924F2"/>
    <w:rsid w:val="00094944"/>
    <w:rsid w:val="0009569A"/>
    <w:rsid w:val="00097D78"/>
    <w:rsid w:val="00097F6F"/>
    <w:rsid w:val="000A07CF"/>
    <w:rsid w:val="000A1A1E"/>
    <w:rsid w:val="000A23FF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661D4"/>
    <w:rsid w:val="001721A7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63A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64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0C85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77771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2C3D"/>
    <w:rsid w:val="002C6CBC"/>
    <w:rsid w:val="002C705A"/>
    <w:rsid w:val="002C7959"/>
    <w:rsid w:val="002D1467"/>
    <w:rsid w:val="002D14CA"/>
    <w:rsid w:val="002D1576"/>
    <w:rsid w:val="002D219D"/>
    <w:rsid w:val="002D2417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4AF4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3BF8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0BC3"/>
    <w:rsid w:val="003F35C4"/>
    <w:rsid w:val="003F61BB"/>
    <w:rsid w:val="003F6308"/>
    <w:rsid w:val="003F759D"/>
    <w:rsid w:val="00400968"/>
    <w:rsid w:val="0040157F"/>
    <w:rsid w:val="004026F1"/>
    <w:rsid w:val="00402A9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6C72"/>
    <w:rsid w:val="00427D7E"/>
    <w:rsid w:val="004307E9"/>
    <w:rsid w:val="00430991"/>
    <w:rsid w:val="0043104D"/>
    <w:rsid w:val="00432F95"/>
    <w:rsid w:val="0043437D"/>
    <w:rsid w:val="004407FF"/>
    <w:rsid w:val="00441782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1A01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24E3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50B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0895"/>
    <w:rsid w:val="004F1821"/>
    <w:rsid w:val="004F39FC"/>
    <w:rsid w:val="004F4100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414D"/>
    <w:rsid w:val="00535EB4"/>
    <w:rsid w:val="00535F99"/>
    <w:rsid w:val="0053607B"/>
    <w:rsid w:val="005366E9"/>
    <w:rsid w:val="00537944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218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2642"/>
    <w:rsid w:val="005E3432"/>
    <w:rsid w:val="005E3759"/>
    <w:rsid w:val="005E4345"/>
    <w:rsid w:val="005E5471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37C9"/>
    <w:rsid w:val="00604376"/>
    <w:rsid w:val="006045C6"/>
    <w:rsid w:val="00606850"/>
    <w:rsid w:val="00607192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2BE8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6193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0674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3D95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424F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8D4"/>
    <w:rsid w:val="007B4A12"/>
    <w:rsid w:val="007B5BE9"/>
    <w:rsid w:val="007B655D"/>
    <w:rsid w:val="007C0EF8"/>
    <w:rsid w:val="007C0F97"/>
    <w:rsid w:val="007C1392"/>
    <w:rsid w:val="007C191F"/>
    <w:rsid w:val="007C208A"/>
    <w:rsid w:val="007C21C0"/>
    <w:rsid w:val="007C28C9"/>
    <w:rsid w:val="007C4315"/>
    <w:rsid w:val="007C4E07"/>
    <w:rsid w:val="007C5282"/>
    <w:rsid w:val="007C66A0"/>
    <w:rsid w:val="007C6DFE"/>
    <w:rsid w:val="007D3FAF"/>
    <w:rsid w:val="007D58F3"/>
    <w:rsid w:val="007D59A5"/>
    <w:rsid w:val="007D786B"/>
    <w:rsid w:val="007D7A8E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95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17FA"/>
    <w:rsid w:val="00892264"/>
    <w:rsid w:val="00892A1E"/>
    <w:rsid w:val="0089311C"/>
    <w:rsid w:val="008975DC"/>
    <w:rsid w:val="008A041C"/>
    <w:rsid w:val="008A2369"/>
    <w:rsid w:val="008A26E3"/>
    <w:rsid w:val="008A2E49"/>
    <w:rsid w:val="008A2FF1"/>
    <w:rsid w:val="008A3963"/>
    <w:rsid w:val="008A4BA6"/>
    <w:rsid w:val="008A4F1B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424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4C4"/>
    <w:rsid w:val="009828EE"/>
    <w:rsid w:val="009831CB"/>
    <w:rsid w:val="009845DC"/>
    <w:rsid w:val="00985140"/>
    <w:rsid w:val="00986054"/>
    <w:rsid w:val="00986453"/>
    <w:rsid w:val="00986EE1"/>
    <w:rsid w:val="00991237"/>
    <w:rsid w:val="009921BF"/>
    <w:rsid w:val="00992A82"/>
    <w:rsid w:val="0099391A"/>
    <w:rsid w:val="00993E15"/>
    <w:rsid w:val="00995896"/>
    <w:rsid w:val="00995CB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D2D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595B"/>
    <w:rsid w:val="00B06CD3"/>
    <w:rsid w:val="00B07116"/>
    <w:rsid w:val="00B100E3"/>
    <w:rsid w:val="00B13B2F"/>
    <w:rsid w:val="00B15075"/>
    <w:rsid w:val="00B15DC7"/>
    <w:rsid w:val="00B1771F"/>
    <w:rsid w:val="00B17CFB"/>
    <w:rsid w:val="00B211D8"/>
    <w:rsid w:val="00B21DDC"/>
    <w:rsid w:val="00B223BA"/>
    <w:rsid w:val="00B22779"/>
    <w:rsid w:val="00B22781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386"/>
    <w:rsid w:val="00B40529"/>
    <w:rsid w:val="00B41DE2"/>
    <w:rsid w:val="00B42863"/>
    <w:rsid w:val="00B44005"/>
    <w:rsid w:val="00B44792"/>
    <w:rsid w:val="00B459B2"/>
    <w:rsid w:val="00B45CB5"/>
    <w:rsid w:val="00B46514"/>
    <w:rsid w:val="00B47C7E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4FA5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549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590E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24DC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3C6E"/>
    <w:rsid w:val="00CD585C"/>
    <w:rsid w:val="00CD663F"/>
    <w:rsid w:val="00CD688D"/>
    <w:rsid w:val="00CD789A"/>
    <w:rsid w:val="00CE0795"/>
    <w:rsid w:val="00CE1070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451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1EE4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1E5E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503F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745F6"/>
    <w:rsid w:val="00D8494D"/>
    <w:rsid w:val="00D84B5A"/>
    <w:rsid w:val="00D93FBF"/>
    <w:rsid w:val="00D94692"/>
    <w:rsid w:val="00D96C60"/>
    <w:rsid w:val="00D96F1F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D5F8A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12BA"/>
    <w:rsid w:val="00E037A2"/>
    <w:rsid w:val="00E03D1C"/>
    <w:rsid w:val="00E05392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6D5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3758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6923"/>
    <w:rsid w:val="00E573E5"/>
    <w:rsid w:val="00E5781D"/>
    <w:rsid w:val="00E5790A"/>
    <w:rsid w:val="00E579AF"/>
    <w:rsid w:val="00E60AC3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395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68B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7B7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86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147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1C55"/>
    <w:rsid w:val="00F84712"/>
    <w:rsid w:val="00F861B9"/>
    <w:rsid w:val="00F87212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67B0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paragraph" w:customStyle="1" w:styleId="DNVbullet1">
    <w:name w:val="DNV_bullet1"/>
    <w:basedOn w:val="Normal"/>
    <w:rsid w:val="00CD3C6E"/>
    <w:pPr>
      <w:tabs>
        <w:tab w:val="num" w:pos="720"/>
      </w:tabs>
      <w:spacing w:before="360"/>
      <w:ind w:left="360"/>
    </w:pPr>
    <w:rPr>
      <w:rFonts w:ascii="Verdana" w:eastAsia="PMingLiU" w:hAnsi="Verdana"/>
      <w:b/>
      <w:bCs/>
      <w:color w:val="000080"/>
      <w:sz w:val="24"/>
      <w:szCs w:val="24"/>
    </w:rPr>
  </w:style>
  <w:style w:type="paragraph" w:customStyle="1" w:styleId="DNVTextTable">
    <w:name w:val="DNVTextTable"/>
    <w:basedOn w:val="Normal"/>
    <w:rsid w:val="00CD3C6E"/>
    <w:pPr>
      <w:spacing w:before="40" w:after="40" w:line="280" w:lineRule="exact"/>
      <w:ind w:left="567" w:right="567"/>
      <w:jc w:val="both"/>
    </w:pPr>
    <w:rPr>
      <w:rFonts w:ascii="Verdana" w:eastAsia="PMingLiU" w:hAnsi="Verdana"/>
      <w:bCs/>
      <w:i/>
      <w:iCs/>
      <w:sz w:val="20"/>
      <w:szCs w:val="24"/>
    </w:rPr>
  </w:style>
  <w:style w:type="paragraph" w:customStyle="1" w:styleId="DNVBld11pt">
    <w:name w:val="DNV_Bld11pt"/>
    <w:rsid w:val="00CD3C6E"/>
    <w:rPr>
      <w:rFonts w:ascii="Verdana" w:eastAsia="PMingLiU" w:hAnsi="Verdana"/>
      <w:b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1661D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0A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23FF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0A2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3FF"/>
    <w:rPr>
      <w:rFonts w:ascii="Arial" w:hAnsi="Arial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paragraph" w:customStyle="1" w:styleId="DNVbullet1">
    <w:name w:val="DNV_bullet1"/>
    <w:basedOn w:val="Normal"/>
    <w:rsid w:val="00CD3C6E"/>
    <w:pPr>
      <w:tabs>
        <w:tab w:val="num" w:pos="720"/>
      </w:tabs>
      <w:spacing w:before="360"/>
      <w:ind w:left="360"/>
    </w:pPr>
    <w:rPr>
      <w:rFonts w:ascii="Verdana" w:eastAsia="PMingLiU" w:hAnsi="Verdana"/>
      <w:b/>
      <w:bCs/>
      <w:color w:val="000080"/>
      <w:sz w:val="24"/>
      <w:szCs w:val="24"/>
    </w:rPr>
  </w:style>
  <w:style w:type="paragraph" w:customStyle="1" w:styleId="DNVTextTable">
    <w:name w:val="DNVTextTable"/>
    <w:basedOn w:val="Normal"/>
    <w:rsid w:val="00CD3C6E"/>
    <w:pPr>
      <w:spacing w:before="40" w:after="40" w:line="280" w:lineRule="exact"/>
      <w:ind w:left="567" w:right="567"/>
      <w:jc w:val="both"/>
    </w:pPr>
    <w:rPr>
      <w:rFonts w:ascii="Verdana" w:eastAsia="PMingLiU" w:hAnsi="Verdana"/>
      <w:bCs/>
      <w:i/>
      <w:iCs/>
      <w:sz w:val="20"/>
      <w:szCs w:val="24"/>
    </w:rPr>
  </w:style>
  <w:style w:type="paragraph" w:customStyle="1" w:styleId="DNVBld11pt">
    <w:name w:val="DNV_Bld11pt"/>
    <w:rsid w:val="00CD3C6E"/>
    <w:rPr>
      <w:rFonts w:ascii="Verdana" w:eastAsia="PMingLiU" w:hAnsi="Verdana"/>
      <w:b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1661D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0A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23FF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0A2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3FF"/>
    <w:rPr>
      <w:rFonts w:ascii="Arial" w:hAnsi="Arial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polioeradication.org/polio-today/preparing-for-a-polio-free-world/containment/containment-resourc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590A1F-D46C-4FF0-BD12-8B4529BB0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AA95BD75-1A9C-4091-9A81-8BC98294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773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5</cp:revision>
  <cp:lastPrinted>2016-08-24T14:27:00Z</cp:lastPrinted>
  <dcterms:created xsi:type="dcterms:W3CDTF">2016-10-25T12:38:00Z</dcterms:created>
  <dcterms:modified xsi:type="dcterms:W3CDTF">2017-02-28T23:20:00Z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