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975" w:rsidRDefault="00413975" w:rsidP="007C2FAA">
      <w:pPr>
        <w:ind w:left="720"/>
        <w:jc w:val="center"/>
        <w:rPr>
          <w:b/>
          <w:sz w:val="28"/>
          <w:szCs w:val="28"/>
        </w:rPr>
      </w:pPr>
    </w:p>
    <w:p w:rsidR="00A90777" w:rsidRDefault="00A90777" w:rsidP="007C2FAA">
      <w:pPr>
        <w:ind w:left="720"/>
        <w:jc w:val="center"/>
        <w:rPr>
          <w:b/>
          <w:sz w:val="28"/>
          <w:szCs w:val="28"/>
        </w:rPr>
      </w:pPr>
    </w:p>
    <w:p w:rsidR="00A90777" w:rsidRDefault="00A90777" w:rsidP="007C2FAA">
      <w:pPr>
        <w:ind w:left="720"/>
        <w:jc w:val="center"/>
        <w:rPr>
          <w:b/>
          <w:sz w:val="28"/>
          <w:szCs w:val="28"/>
        </w:rPr>
      </w:pPr>
    </w:p>
    <w:p w:rsidR="00A90777" w:rsidRDefault="00A90777" w:rsidP="007C2FAA">
      <w:pPr>
        <w:ind w:left="720"/>
        <w:jc w:val="center"/>
        <w:rPr>
          <w:b/>
          <w:sz w:val="28"/>
          <w:szCs w:val="28"/>
        </w:rPr>
      </w:pPr>
    </w:p>
    <w:p w:rsidR="00A90777" w:rsidRDefault="00A90777" w:rsidP="007C2FAA">
      <w:pPr>
        <w:ind w:left="720"/>
        <w:jc w:val="center"/>
        <w:rPr>
          <w:b/>
          <w:sz w:val="28"/>
          <w:szCs w:val="28"/>
        </w:rPr>
      </w:pPr>
    </w:p>
    <w:p w:rsidR="00A90777" w:rsidRDefault="00A90777" w:rsidP="007C2FAA">
      <w:pPr>
        <w:ind w:left="720"/>
        <w:jc w:val="center"/>
        <w:rPr>
          <w:b/>
          <w:sz w:val="28"/>
          <w:szCs w:val="28"/>
        </w:rPr>
      </w:pPr>
    </w:p>
    <w:p w:rsidR="00A90777" w:rsidRDefault="00A90777" w:rsidP="007C2FAA">
      <w:pPr>
        <w:ind w:left="720"/>
        <w:jc w:val="center"/>
        <w:rPr>
          <w:b/>
          <w:sz w:val="28"/>
          <w:szCs w:val="28"/>
        </w:rPr>
      </w:pPr>
    </w:p>
    <w:p w:rsidR="00CE7D50" w:rsidRDefault="00CE7D50" w:rsidP="007C2FAA">
      <w:pPr>
        <w:ind w:left="720"/>
        <w:jc w:val="center"/>
        <w:rPr>
          <w:b/>
          <w:sz w:val="28"/>
          <w:szCs w:val="28"/>
        </w:rPr>
      </w:pPr>
    </w:p>
    <w:p w:rsidR="00E046DF" w:rsidRPr="00602C97" w:rsidRDefault="00E046DF" w:rsidP="00E046DF">
      <w:pPr>
        <w:ind w:left="720"/>
        <w:jc w:val="center"/>
        <w:rPr>
          <w:b/>
          <w:sz w:val="36"/>
          <w:szCs w:val="28"/>
        </w:rPr>
      </w:pPr>
      <w:r w:rsidRPr="00602C97">
        <w:rPr>
          <w:b/>
          <w:sz w:val="36"/>
          <w:szCs w:val="28"/>
        </w:rPr>
        <w:t>Poliovirus containment</w:t>
      </w:r>
    </w:p>
    <w:p w:rsidR="00413975" w:rsidRDefault="00413975" w:rsidP="007C2FAA">
      <w:pPr>
        <w:ind w:left="720"/>
        <w:jc w:val="center"/>
        <w:rPr>
          <w:b/>
          <w:sz w:val="28"/>
          <w:szCs w:val="28"/>
        </w:rPr>
      </w:pPr>
    </w:p>
    <w:p w:rsidR="00413975" w:rsidRDefault="00413975" w:rsidP="007C2FAA">
      <w:pPr>
        <w:ind w:left="720"/>
        <w:jc w:val="center"/>
        <w:rPr>
          <w:b/>
          <w:sz w:val="28"/>
          <w:szCs w:val="28"/>
        </w:rPr>
      </w:pPr>
    </w:p>
    <w:p w:rsidR="00413975" w:rsidRDefault="00413975" w:rsidP="007C2FAA">
      <w:pPr>
        <w:ind w:left="720"/>
        <w:jc w:val="center"/>
        <w:rPr>
          <w:b/>
          <w:sz w:val="28"/>
          <w:szCs w:val="28"/>
        </w:rPr>
      </w:pPr>
    </w:p>
    <w:p w:rsidR="00355203" w:rsidRPr="00E046DF" w:rsidRDefault="00DE475C" w:rsidP="007C2FAA">
      <w:pPr>
        <w:ind w:left="720"/>
        <w:jc w:val="center"/>
        <w:rPr>
          <w:b/>
          <w:color w:val="1E7FB8"/>
          <w:sz w:val="48"/>
          <w:szCs w:val="36"/>
        </w:rPr>
      </w:pPr>
      <w:r w:rsidRPr="00E046DF">
        <w:rPr>
          <w:b/>
          <w:color w:val="1E7FB8"/>
          <w:sz w:val="48"/>
          <w:szCs w:val="36"/>
        </w:rPr>
        <w:t>G</w:t>
      </w:r>
      <w:r w:rsidR="00773051" w:rsidRPr="00E046DF">
        <w:rPr>
          <w:b/>
          <w:color w:val="1E7FB8"/>
          <w:sz w:val="48"/>
          <w:szCs w:val="36"/>
        </w:rPr>
        <w:t>uid</w:t>
      </w:r>
      <w:r w:rsidRPr="00E046DF">
        <w:rPr>
          <w:b/>
          <w:color w:val="1E7FB8"/>
          <w:sz w:val="48"/>
          <w:szCs w:val="36"/>
        </w:rPr>
        <w:t>ance</w:t>
      </w:r>
      <w:r w:rsidR="00773051" w:rsidRPr="00E046DF">
        <w:rPr>
          <w:b/>
          <w:color w:val="1E7FB8"/>
          <w:sz w:val="48"/>
          <w:szCs w:val="36"/>
        </w:rPr>
        <w:t xml:space="preserve"> </w:t>
      </w:r>
      <w:r w:rsidR="00781757" w:rsidRPr="00E046DF">
        <w:rPr>
          <w:b/>
          <w:color w:val="1E7FB8"/>
          <w:sz w:val="48"/>
          <w:szCs w:val="36"/>
        </w:rPr>
        <w:t>for</w:t>
      </w:r>
      <w:r w:rsidR="004C7446" w:rsidRPr="00E046DF">
        <w:rPr>
          <w:b/>
          <w:color w:val="1E7FB8"/>
          <w:sz w:val="48"/>
          <w:szCs w:val="36"/>
        </w:rPr>
        <w:t xml:space="preserve"> </w:t>
      </w:r>
      <w:r w:rsidR="00CC0343" w:rsidRPr="00E046DF">
        <w:rPr>
          <w:b/>
          <w:color w:val="1E7FB8"/>
          <w:sz w:val="48"/>
          <w:szCs w:val="36"/>
        </w:rPr>
        <w:t>n</w:t>
      </w:r>
      <w:r w:rsidR="00E76B3D" w:rsidRPr="00E046DF">
        <w:rPr>
          <w:b/>
          <w:color w:val="1E7FB8"/>
          <w:sz w:val="48"/>
          <w:szCs w:val="36"/>
        </w:rPr>
        <w:t>on-poliovirus facilit</w:t>
      </w:r>
      <w:r w:rsidR="004C7446" w:rsidRPr="00E046DF">
        <w:rPr>
          <w:b/>
          <w:color w:val="1E7FB8"/>
          <w:sz w:val="48"/>
          <w:szCs w:val="36"/>
        </w:rPr>
        <w:t>ies</w:t>
      </w:r>
      <w:r w:rsidR="003E6190" w:rsidRPr="00E046DF">
        <w:rPr>
          <w:b/>
          <w:color w:val="1E7FB8"/>
          <w:sz w:val="48"/>
          <w:szCs w:val="36"/>
        </w:rPr>
        <w:t xml:space="preserve"> </w:t>
      </w:r>
      <w:r w:rsidR="00E046DF">
        <w:rPr>
          <w:b/>
          <w:color w:val="1E7FB8"/>
          <w:sz w:val="48"/>
          <w:szCs w:val="36"/>
        </w:rPr>
        <w:t xml:space="preserve">           </w:t>
      </w:r>
      <w:proofErr w:type="gramStart"/>
      <w:r w:rsidRPr="00E046DF">
        <w:rPr>
          <w:b/>
          <w:color w:val="1E7FB8"/>
          <w:sz w:val="48"/>
          <w:szCs w:val="36"/>
        </w:rPr>
        <w:t>to</w:t>
      </w:r>
      <w:proofErr w:type="gramEnd"/>
      <w:r w:rsidRPr="00E046DF">
        <w:rPr>
          <w:b/>
          <w:color w:val="1E7FB8"/>
          <w:sz w:val="48"/>
          <w:szCs w:val="36"/>
        </w:rPr>
        <w:t xml:space="preserve"> minimize risk </w:t>
      </w:r>
      <w:r w:rsidR="00B1059F" w:rsidRPr="00E046DF">
        <w:rPr>
          <w:b/>
          <w:color w:val="1E7FB8"/>
          <w:sz w:val="48"/>
          <w:szCs w:val="36"/>
        </w:rPr>
        <w:t>of</w:t>
      </w:r>
      <w:r w:rsidR="00E76B3D" w:rsidRPr="00E046DF">
        <w:rPr>
          <w:b/>
          <w:color w:val="1E7FB8"/>
          <w:sz w:val="48"/>
          <w:szCs w:val="36"/>
        </w:rPr>
        <w:t xml:space="preserve"> </w:t>
      </w:r>
      <w:r w:rsidR="00BD0D28" w:rsidRPr="00E046DF">
        <w:rPr>
          <w:b/>
          <w:color w:val="1E7FB8"/>
          <w:sz w:val="48"/>
          <w:szCs w:val="36"/>
        </w:rPr>
        <w:t xml:space="preserve">sample collections </w:t>
      </w:r>
      <w:r w:rsidR="008C49BA" w:rsidRPr="00E046DF">
        <w:rPr>
          <w:b/>
          <w:color w:val="1E7FB8"/>
          <w:sz w:val="48"/>
          <w:szCs w:val="36"/>
        </w:rPr>
        <w:t xml:space="preserve">potentially infectious </w:t>
      </w:r>
      <w:r w:rsidR="00BD0D28" w:rsidRPr="00E046DF">
        <w:rPr>
          <w:b/>
          <w:color w:val="1E7FB8"/>
          <w:sz w:val="48"/>
          <w:szCs w:val="36"/>
        </w:rPr>
        <w:t>for polioviruses</w:t>
      </w:r>
    </w:p>
    <w:p w:rsidR="00413975" w:rsidRPr="00E046DF" w:rsidRDefault="00746FC7" w:rsidP="00746FC7">
      <w:pPr>
        <w:tabs>
          <w:tab w:val="center" w:pos="5040"/>
          <w:tab w:val="left" w:pos="6660"/>
        </w:tabs>
        <w:ind w:left="720"/>
        <w:rPr>
          <w:b/>
          <w:sz w:val="32"/>
          <w:szCs w:val="36"/>
        </w:rPr>
      </w:pPr>
      <w:r w:rsidRPr="00746FC7">
        <w:rPr>
          <w:b/>
          <w:sz w:val="36"/>
          <w:szCs w:val="36"/>
        </w:rPr>
        <w:tab/>
      </w:r>
      <w:r w:rsidR="0070310B" w:rsidRPr="00980870">
        <w:rPr>
          <w:b/>
          <w:sz w:val="28"/>
          <w:szCs w:val="36"/>
        </w:rPr>
        <w:t>Draft</w:t>
      </w:r>
      <w:r w:rsidR="00980870">
        <w:rPr>
          <w:b/>
          <w:sz w:val="28"/>
          <w:szCs w:val="36"/>
        </w:rPr>
        <w:t xml:space="preserve"> for comments</w:t>
      </w:r>
      <w:r w:rsidR="0070310B" w:rsidRPr="00980870">
        <w:rPr>
          <w:b/>
          <w:sz w:val="28"/>
          <w:szCs w:val="36"/>
        </w:rPr>
        <w:t xml:space="preserve">: </w:t>
      </w:r>
      <w:r w:rsidR="00CE7D50" w:rsidRPr="00980870">
        <w:rPr>
          <w:b/>
          <w:sz w:val="28"/>
          <w:szCs w:val="36"/>
        </w:rPr>
        <w:t>4</w:t>
      </w:r>
      <w:bookmarkStart w:id="0" w:name="_GoBack"/>
      <w:bookmarkEnd w:id="0"/>
      <w:r w:rsidR="00CE7D50" w:rsidRPr="00980870">
        <w:rPr>
          <w:b/>
          <w:sz w:val="28"/>
          <w:szCs w:val="36"/>
        </w:rPr>
        <w:t xml:space="preserve"> Sep</w:t>
      </w:r>
      <w:r w:rsidR="00491E07" w:rsidRPr="00980870">
        <w:rPr>
          <w:b/>
          <w:sz w:val="28"/>
          <w:szCs w:val="36"/>
        </w:rPr>
        <w:t xml:space="preserve"> 2017</w:t>
      </w:r>
    </w:p>
    <w:p w:rsidR="00CE6F67" w:rsidRDefault="00CE6F67" w:rsidP="00CE6F67">
      <w:pPr>
        <w:jc w:val="both"/>
        <w:rPr>
          <w:b/>
          <w:sz w:val="28"/>
          <w:szCs w:val="28"/>
        </w:rPr>
      </w:pPr>
    </w:p>
    <w:p w:rsidR="00CE6F67" w:rsidRDefault="00CE6F67" w:rsidP="00CE6F67">
      <w:pPr>
        <w:jc w:val="both"/>
        <w:rPr>
          <w:b/>
          <w:sz w:val="28"/>
          <w:szCs w:val="28"/>
        </w:rPr>
      </w:pPr>
    </w:p>
    <w:p w:rsidR="00A90777" w:rsidRDefault="00A90777" w:rsidP="00CE6F67">
      <w:pPr>
        <w:jc w:val="both"/>
        <w:rPr>
          <w:b/>
          <w:sz w:val="28"/>
          <w:szCs w:val="28"/>
        </w:rPr>
      </w:pPr>
    </w:p>
    <w:p w:rsidR="00A90777" w:rsidRDefault="00A90777" w:rsidP="00CE6F67">
      <w:pPr>
        <w:jc w:val="both"/>
        <w:rPr>
          <w:b/>
          <w:sz w:val="28"/>
          <w:szCs w:val="28"/>
        </w:rPr>
      </w:pPr>
    </w:p>
    <w:p w:rsidR="00A90777" w:rsidRDefault="00A90777" w:rsidP="00CE6F67">
      <w:pPr>
        <w:jc w:val="both"/>
        <w:rPr>
          <w:b/>
          <w:sz w:val="28"/>
          <w:szCs w:val="28"/>
        </w:rPr>
      </w:pPr>
    </w:p>
    <w:p w:rsidR="00A90777" w:rsidRDefault="00A90777" w:rsidP="00CE6F67">
      <w:pPr>
        <w:jc w:val="both"/>
        <w:rPr>
          <w:b/>
          <w:sz w:val="28"/>
          <w:szCs w:val="28"/>
        </w:rPr>
      </w:pPr>
    </w:p>
    <w:p w:rsidR="00A90777" w:rsidRDefault="00A90777" w:rsidP="00CE6F67">
      <w:pPr>
        <w:jc w:val="both"/>
        <w:rPr>
          <w:b/>
          <w:sz w:val="28"/>
          <w:szCs w:val="28"/>
        </w:rPr>
      </w:pPr>
    </w:p>
    <w:p w:rsidR="00A90777" w:rsidRDefault="00A90777" w:rsidP="00CE6F67">
      <w:pPr>
        <w:jc w:val="both"/>
        <w:rPr>
          <w:b/>
          <w:sz w:val="28"/>
          <w:szCs w:val="28"/>
        </w:rPr>
      </w:pPr>
    </w:p>
    <w:sdt>
      <w:sdtPr>
        <w:rPr>
          <w:rFonts w:asciiTheme="minorHAnsi" w:eastAsiaTheme="minorHAnsi" w:hAnsiTheme="minorHAnsi" w:cstheme="minorBidi"/>
          <w:b w:val="0"/>
          <w:bCs w:val="0"/>
          <w:smallCaps w:val="0"/>
          <w:color w:val="auto"/>
          <w:sz w:val="22"/>
          <w:szCs w:val="22"/>
          <w:lang w:eastAsia="en-US"/>
        </w:rPr>
        <w:id w:val="1563594374"/>
        <w:docPartObj>
          <w:docPartGallery w:val="Table of Contents"/>
          <w:docPartUnique/>
        </w:docPartObj>
      </w:sdtPr>
      <w:sdtEndPr>
        <w:rPr>
          <w:noProof/>
        </w:rPr>
      </w:sdtEndPr>
      <w:sdtContent>
        <w:p w:rsidR="00CE7D50" w:rsidRDefault="00CE7D50" w:rsidP="00CE7D50">
          <w:pPr>
            <w:pStyle w:val="Heading1"/>
          </w:pPr>
          <w:r>
            <w:t>Contents</w:t>
          </w:r>
        </w:p>
        <w:p w:rsidR="00FA4D73" w:rsidRDefault="00FA4D73">
          <w:pPr>
            <w:pStyle w:val="TOC1"/>
            <w:tabs>
              <w:tab w:val="right" w:leader="dot" w:pos="9620"/>
            </w:tabs>
          </w:pPr>
        </w:p>
        <w:p w:rsidR="00CE7D50" w:rsidRDefault="00CE7D50">
          <w:pPr>
            <w:pStyle w:val="TOC1"/>
            <w:tabs>
              <w:tab w:val="right" w:leader="dot" w:pos="9620"/>
            </w:tabs>
            <w:rPr>
              <w:rFonts w:cstheme="minorBidi"/>
              <w:noProof/>
              <w:sz w:val="22"/>
              <w:szCs w:val="22"/>
            </w:rPr>
          </w:pPr>
          <w:r>
            <w:fldChar w:fldCharType="begin"/>
          </w:r>
          <w:r>
            <w:instrText xml:space="preserve"> TOC \o "1-3" \h \z \u </w:instrText>
          </w:r>
          <w:r>
            <w:fldChar w:fldCharType="separate"/>
          </w:r>
          <w:hyperlink w:anchor="_Toc492292881" w:history="1">
            <w:r w:rsidRPr="00BC258D">
              <w:rPr>
                <w:rStyle w:val="Hyperlink"/>
                <w:noProof/>
              </w:rPr>
              <w:t>Table of contents</w:t>
            </w:r>
            <w:r>
              <w:rPr>
                <w:noProof/>
                <w:webHidden/>
              </w:rPr>
              <w:tab/>
            </w:r>
            <w:r>
              <w:rPr>
                <w:noProof/>
                <w:webHidden/>
              </w:rPr>
              <w:fldChar w:fldCharType="begin"/>
            </w:r>
            <w:r>
              <w:rPr>
                <w:noProof/>
                <w:webHidden/>
              </w:rPr>
              <w:instrText xml:space="preserve"> PAGEREF _Toc492292881 \h </w:instrText>
            </w:r>
            <w:r>
              <w:rPr>
                <w:noProof/>
                <w:webHidden/>
              </w:rPr>
            </w:r>
            <w:r>
              <w:rPr>
                <w:noProof/>
                <w:webHidden/>
              </w:rPr>
              <w:fldChar w:fldCharType="separate"/>
            </w:r>
            <w:r>
              <w:rPr>
                <w:noProof/>
                <w:webHidden/>
              </w:rPr>
              <w:t>2</w:t>
            </w:r>
            <w:r>
              <w:rPr>
                <w:noProof/>
                <w:webHidden/>
              </w:rPr>
              <w:fldChar w:fldCharType="end"/>
            </w:r>
          </w:hyperlink>
        </w:p>
        <w:p w:rsidR="00CE7D50" w:rsidRDefault="00D14B7C">
          <w:pPr>
            <w:pStyle w:val="TOC1"/>
            <w:tabs>
              <w:tab w:val="right" w:leader="dot" w:pos="9620"/>
            </w:tabs>
            <w:rPr>
              <w:rFonts w:cstheme="minorBidi"/>
              <w:noProof/>
              <w:sz w:val="22"/>
              <w:szCs w:val="22"/>
            </w:rPr>
          </w:pPr>
          <w:hyperlink w:anchor="_Toc492292882" w:history="1">
            <w:r w:rsidR="00CE7D50" w:rsidRPr="00BC258D">
              <w:rPr>
                <w:rStyle w:val="Hyperlink"/>
                <w:noProof/>
              </w:rPr>
              <w:t>Acknowledgments</w:t>
            </w:r>
            <w:r w:rsidR="00CE7D50">
              <w:rPr>
                <w:noProof/>
                <w:webHidden/>
              </w:rPr>
              <w:tab/>
            </w:r>
            <w:r w:rsidR="00CE7D50">
              <w:rPr>
                <w:noProof/>
                <w:webHidden/>
              </w:rPr>
              <w:fldChar w:fldCharType="begin"/>
            </w:r>
            <w:r w:rsidR="00CE7D50">
              <w:rPr>
                <w:noProof/>
                <w:webHidden/>
              </w:rPr>
              <w:instrText xml:space="preserve"> PAGEREF _Toc492292882 \h </w:instrText>
            </w:r>
            <w:r w:rsidR="00CE7D50">
              <w:rPr>
                <w:noProof/>
                <w:webHidden/>
              </w:rPr>
            </w:r>
            <w:r w:rsidR="00CE7D50">
              <w:rPr>
                <w:noProof/>
                <w:webHidden/>
              </w:rPr>
              <w:fldChar w:fldCharType="separate"/>
            </w:r>
            <w:r w:rsidR="00CE7D50">
              <w:rPr>
                <w:noProof/>
                <w:webHidden/>
              </w:rPr>
              <w:t>3</w:t>
            </w:r>
            <w:r w:rsidR="00CE7D50">
              <w:rPr>
                <w:noProof/>
                <w:webHidden/>
              </w:rPr>
              <w:fldChar w:fldCharType="end"/>
            </w:r>
          </w:hyperlink>
        </w:p>
        <w:p w:rsidR="00CE7D50" w:rsidRDefault="00D14B7C">
          <w:pPr>
            <w:pStyle w:val="TOC1"/>
            <w:tabs>
              <w:tab w:val="right" w:leader="dot" w:pos="9620"/>
            </w:tabs>
            <w:rPr>
              <w:rFonts w:cstheme="minorBidi"/>
              <w:noProof/>
              <w:sz w:val="22"/>
              <w:szCs w:val="22"/>
            </w:rPr>
          </w:pPr>
          <w:hyperlink w:anchor="_Toc492292883" w:history="1">
            <w:r w:rsidR="00CE7D50" w:rsidRPr="00BC258D">
              <w:rPr>
                <w:rStyle w:val="Hyperlink"/>
                <w:noProof/>
              </w:rPr>
              <w:t>Abbreviations and Acronyms</w:t>
            </w:r>
            <w:r w:rsidR="00CE7D50">
              <w:rPr>
                <w:noProof/>
                <w:webHidden/>
              </w:rPr>
              <w:tab/>
            </w:r>
            <w:r w:rsidR="00CE7D50">
              <w:rPr>
                <w:noProof/>
                <w:webHidden/>
              </w:rPr>
              <w:fldChar w:fldCharType="begin"/>
            </w:r>
            <w:r w:rsidR="00CE7D50">
              <w:rPr>
                <w:noProof/>
                <w:webHidden/>
              </w:rPr>
              <w:instrText xml:space="preserve"> PAGEREF _Toc492292883 \h </w:instrText>
            </w:r>
            <w:r w:rsidR="00CE7D50">
              <w:rPr>
                <w:noProof/>
                <w:webHidden/>
              </w:rPr>
            </w:r>
            <w:r w:rsidR="00CE7D50">
              <w:rPr>
                <w:noProof/>
                <w:webHidden/>
              </w:rPr>
              <w:fldChar w:fldCharType="separate"/>
            </w:r>
            <w:r w:rsidR="00CE7D50">
              <w:rPr>
                <w:noProof/>
                <w:webHidden/>
              </w:rPr>
              <w:t>4</w:t>
            </w:r>
            <w:r w:rsidR="00CE7D50">
              <w:rPr>
                <w:noProof/>
                <w:webHidden/>
              </w:rPr>
              <w:fldChar w:fldCharType="end"/>
            </w:r>
          </w:hyperlink>
        </w:p>
        <w:p w:rsidR="00CE7D50" w:rsidRDefault="00D14B7C">
          <w:pPr>
            <w:pStyle w:val="TOC1"/>
            <w:tabs>
              <w:tab w:val="right" w:leader="dot" w:pos="9620"/>
            </w:tabs>
            <w:rPr>
              <w:rFonts w:cstheme="minorBidi"/>
              <w:noProof/>
              <w:sz w:val="22"/>
              <w:szCs w:val="22"/>
            </w:rPr>
          </w:pPr>
          <w:hyperlink w:anchor="_Toc492292884" w:history="1">
            <w:r w:rsidR="00CE7D50" w:rsidRPr="00BC258D">
              <w:rPr>
                <w:rStyle w:val="Hyperlink"/>
                <w:noProof/>
              </w:rPr>
              <w:t>Introduction</w:t>
            </w:r>
            <w:r w:rsidR="00CE7D50">
              <w:rPr>
                <w:noProof/>
                <w:webHidden/>
              </w:rPr>
              <w:tab/>
            </w:r>
            <w:r w:rsidR="00CE7D50">
              <w:rPr>
                <w:noProof/>
                <w:webHidden/>
              </w:rPr>
              <w:fldChar w:fldCharType="begin"/>
            </w:r>
            <w:r w:rsidR="00CE7D50">
              <w:rPr>
                <w:noProof/>
                <w:webHidden/>
              </w:rPr>
              <w:instrText xml:space="preserve"> PAGEREF _Toc492292884 \h </w:instrText>
            </w:r>
            <w:r w:rsidR="00CE7D50">
              <w:rPr>
                <w:noProof/>
                <w:webHidden/>
              </w:rPr>
            </w:r>
            <w:r w:rsidR="00CE7D50">
              <w:rPr>
                <w:noProof/>
                <w:webHidden/>
              </w:rPr>
              <w:fldChar w:fldCharType="separate"/>
            </w:r>
            <w:r w:rsidR="00CE7D50">
              <w:rPr>
                <w:noProof/>
                <w:webHidden/>
              </w:rPr>
              <w:t>6</w:t>
            </w:r>
            <w:r w:rsidR="00CE7D50">
              <w:rPr>
                <w:noProof/>
                <w:webHidden/>
              </w:rPr>
              <w:fldChar w:fldCharType="end"/>
            </w:r>
          </w:hyperlink>
        </w:p>
        <w:p w:rsidR="00CE7D50" w:rsidRDefault="00D14B7C">
          <w:pPr>
            <w:pStyle w:val="TOC1"/>
            <w:tabs>
              <w:tab w:val="right" w:leader="dot" w:pos="9620"/>
            </w:tabs>
            <w:rPr>
              <w:rFonts w:cstheme="minorBidi"/>
              <w:noProof/>
              <w:sz w:val="22"/>
              <w:szCs w:val="22"/>
            </w:rPr>
          </w:pPr>
          <w:hyperlink w:anchor="_Toc492292885" w:history="1">
            <w:r w:rsidR="00CE7D50" w:rsidRPr="00BC258D">
              <w:rPr>
                <w:rStyle w:val="Hyperlink"/>
                <w:noProof/>
              </w:rPr>
              <w:t>Purpose</w:t>
            </w:r>
            <w:r w:rsidR="00CE7D50">
              <w:rPr>
                <w:noProof/>
                <w:webHidden/>
              </w:rPr>
              <w:tab/>
            </w:r>
            <w:r w:rsidR="00CE7D50">
              <w:rPr>
                <w:noProof/>
                <w:webHidden/>
              </w:rPr>
              <w:fldChar w:fldCharType="begin"/>
            </w:r>
            <w:r w:rsidR="00CE7D50">
              <w:rPr>
                <w:noProof/>
                <w:webHidden/>
              </w:rPr>
              <w:instrText xml:space="preserve"> PAGEREF _Toc492292885 \h </w:instrText>
            </w:r>
            <w:r w:rsidR="00CE7D50">
              <w:rPr>
                <w:noProof/>
                <w:webHidden/>
              </w:rPr>
            </w:r>
            <w:r w:rsidR="00CE7D50">
              <w:rPr>
                <w:noProof/>
                <w:webHidden/>
              </w:rPr>
              <w:fldChar w:fldCharType="separate"/>
            </w:r>
            <w:r w:rsidR="00CE7D50">
              <w:rPr>
                <w:noProof/>
                <w:webHidden/>
              </w:rPr>
              <w:t>6</w:t>
            </w:r>
            <w:r w:rsidR="00CE7D50">
              <w:rPr>
                <w:noProof/>
                <w:webHidden/>
              </w:rPr>
              <w:fldChar w:fldCharType="end"/>
            </w:r>
          </w:hyperlink>
        </w:p>
        <w:p w:rsidR="00CE7D50" w:rsidRDefault="00D14B7C">
          <w:pPr>
            <w:pStyle w:val="TOC1"/>
            <w:tabs>
              <w:tab w:val="right" w:leader="dot" w:pos="9620"/>
            </w:tabs>
            <w:rPr>
              <w:rFonts w:cstheme="minorBidi"/>
              <w:noProof/>
              <w:sz w:val="22"/>
              <w:szCs w:val="22"/>
            </w:rPr>
          </w:pPr>
          <w:hyperlink w:anchor="_Toc492292886" w:history="1">
            <w:r w:rsidR="00CE7D50" w:rsidRPr="00BC258D">
              <w:rPr>
                <w:rStyle w:val="Hyperlink"/>
                <w:noProof/>
              </w:rPr>
              <w:t>Rationale</w:t>
            </w:r>
            <w:r w:rsidR="00CE7D50">
              <w:rPr>
                <w:noProof/>
                <w:webHidden/>
              </w:rPr>
              <w:tab/>
            </w:r>
            <w:r w:rsidR="00CE7D50">
              <w:rPr>
                <w:noProof/>
                <w:webHidden/>
              </w:rPr>
              <w:fldChar w:fldCharType="begin"/>
            </w:r>
            <w:r w:rsidR="00CE7D50">
              <w:rPr>
                <w:noProof/>
                <w:webHidden/>
              </w:rPr>
              <w:instrText xml:space="preserve"> PAGEREF _Toc492292886 \h </w:instrText>
            </w:r>
            <w:r w:rsidR="00CE7D50">
              <w:rPr>
                <w:noProof/>
                <w:webHidden/>
              </w:rPr>
            </w:r>
            <w:r w:rsidR="00CE7D50">
              <w:rPr>
                <w:noProof/>
                <w:webHidden/>
              </w:rPr>
              <w:fldChar w:fldCharType="separate"/>
            </w:r>
            <w:r w:rsidR="00CE7D50">
              <w:rPr>
                <w:noProof/>
                <w:webHidden/>
              </w:rPr>
              <w:t>7</w:t>
            </w:r>
            <w:r w:rsidR="00CE7D50">
              <w:rPr>
                <w:noProof/>
                <w:webHidden/>
              </w:rPr>
              <w:fldChar w:fldCharType="end"/>
            </w:r>
          </w:hyperlink>
        </w:p>
        <w:p w:rsidR="00CE7D50" w:rsidRDefault="00D14B7C">
          <w:pPr>
            <w:pStyle w:val="TOC1"/>
            <w:tabs>
              <w:tab w:val="right" w:leader="dot" w:pos="9620"/>
            </w:tabs>
            <w:rPr>
              <w:rFonts w:cstheme="minorBidi"/>
              <w:noProof/>
              <w:sz w:val="22"/>
              <w:szCs w:val="22"/>
            </w:rPr>
          </w:pPr>
          <w:hyperlink w:anchor="_Toc492292887" w:history="1">
            <w:r w:rsidR="00CE7D50" w:rsidRPr="00BC258D">
              <w:rPr>
                <w:rStyle w:val="Hyperlink"/>
                <w:noProof/>
              </w:rPr>
              <w:t>Strategy</w:t>
            </w:r>
            <w:r w:rsidR="00CE7D50">
              <w:rPr>
                <w:noProof/>
                <w:webHidden/>
              </w:rPr>
              <w:tab/>
            </w:r>
            <w:r w:rsidR="00CE7D50">
              <w:rPr>
                <w:noProof/>
                <w:webHidden/>
              </w:rPr>
              <w:fldChar w:fldCharType="begin"/>
            </w:r>
            <w:r w:rsidR="00CE7D50">
              <w:rPr>
                <w:noProof/>
                <w:webHidden/>
              </w:rPr>
              <w:instrText xml:space="preserve"> PAGEREF _Toc492292887 \h </w:instrText>
            </w:r>
            <w:r w:rsidR="00CE7D50">
              <w:rPr>
                <w:noProof/>
                <w:webHidden/>
              </w:rPr>
            </w:r>
            <w:r w:rsidR="00CE7D50">
              <w:rPr>
                <w:noProof/>
                <w:webHidden/>
              </w:rPr>
              <w:fldChar w:fldCharType="separate"/>
            </w:r>
            <w:r w:rsidR="00CE7D50">
              <w:rPr>
                <w:noProof/>
                <w:webHidden/>
              </w:rPr>
              <w:t>8</w:t>
            </w:r>
            <w:r w:rsidR="00CE7D50">
              <w:rPr>
                <w:noProof/>
                <w:webHidden/>
              </w:rPr>
              <w:fldChar w:fldCharType="end"/>
            </w:r>
          </w:hyperlink>
        </w:p>
        <w:p w:rsidR="00CE7D50" w:rsidRDefault="00D14B7C">
          <w:pPr>
            <w:pStyle w:val="TOC1"/>
            <w:tabs>
              <w:tab w:val="right" w:leader="dot" w:pos="9620"/>
            </w:tabs>
            <w:rPr>
              <w:rFonts w:cstheme="minorBidi"/>
              <w:noProof/>
              <w:sz w:val="22"/>
              <w:szCs w:val="22"/>
            </w:rPr>
          </w:pPr>
          <w:hyperlink w:anchor="_Toc492292888" w:history="1">
            <w:r w:rsidR="00CE7D50" w:rsidRPr="00BC258D">
              <w:rPr>
                <w:rStyle w:val="Hyperlink"/>
                <w:noProof/>
              </w:rPr>
              <w:t>Implementation</w:t>
            </w:r>
            <w:r w:rsidR="00CE7D50">
              <w:rPr>
                <w:noProof/>
                <w:webHidden/>
              </w:rPr>
              <w:tab/>
            </w:r>
            <w:r w:rsidR="00CE7D50">
              <w:rPr>
                <w:noProof/>
                <w:webHidden/>
              </w:rPr>
              <w:fldChar w:fldCharType="begin"/>
            </w:r>
            <w:r w:rsidR="00CE7D50">
              <w:rPr>
                <w:noProof/>
                <w:webHidden/>
              </w:rPr>
              <w:instrText xml:space="preserve"> PAGEREF _Toc492292888 \h </w:instrText>
            </w:r>
            <w:r w:rsidR="00CE7D50">
              <w:rPr>
                <w:noProof/>
                <w:webHidden/>
              </w:rPr>
            </w:r>
            <w:r w:rsidR="00CE7D50">
              <w:rPr>
                <w:noProof/>
                <w:webHidden/>
              </w:rPr>
              <w:fldChar w:fldCharType="separate"/>
            </w:r>
            <w:r w:rsidR="00CE7D50">
              <w:rPr>
                <w:noProof/>
                <w:webHidden/>
              </w:rPr>
              <w:t>8</w:t>
            </w:r>
            <w:r w:rsidR="00CE7D50">
              <w:rPr>
                <w:noProof/>
                <w:webHidden/>
              </w:rPr>
              <w:fldChar w:fldCharType="end"/>
            </w:r>
          </w:hyperlink>
        </w:p>
        <w:p w:rsidR="00CE7D50" w:rsidRDefault="00D14B7C">
          <w:pPr>
            <w:pStyle w:val="TOC1"/>
            <w:tabs>
              <w:tab w:val="right" w:leader="dot" w:pos="9620"/>
            </w:tabs>
            <w:rPr>
              <w:rFonts w:cstheme="minorBidi"/>
              <w:noProof/>
              <w:sz w:val="22"/>
              <w:szCs w:val="22"/>
            </w:rPr>
          </w:pPr>
          <w:hyperlink w:anchor="_Toc492292889" w:history="1">
            <w:r w:rsidR="00CE7D50" w:rsidRPr="00BC258D">
              <w:rPr>
                <w:rStyle w:val="Hyperlink"/>
                <w:noProof/>
              </w:rPr>
              <w:t>Categorization of poliovirus potentially infectious materials according to risk</w:t>
            </w:r>
            <w:r w:rsidR="00CE7D50">
              <w:rPr>
                <w:noProof/>
                <w:webHidden/>
              </w:rPr>
              <w:tab/>
            </w:r>
            <w:r w:rsidR="00CE7D50">
              <w:rPr>
                <w:noProof/>
                <w:webHidden/>
              </w:rPr>
              <w:fldChar w:fldCharType="begin"/>
            </w:r>
            <w:r w:rsidR="00CE7D50">
              <w:rPr>
                <w:noProof/>
                <w:webHidden/>
              </w:rPr>
              <w:instrText xml:space="preserve"> PAGEREF _Toc492292889 \h </w:instrText>
            </w:r>
            <w:r w:rsidR="00CE7D50">
              <w:rPr>
                <w:noProof/>
                <w:webHidden/>
              </w:rPr>
            </w:r>
            <w:r w:rsidR="00CE7D50">
              <w:rPr>
                <w:noProof/>
                <w:webHidden/>
              </w:rPr>
              <w:fldChar w:fldCharType="separate"/>
            </w:r>
            <w:r w:rsidR="00CE7D50">
              <w:rPr>
                <w:noProof/>
                <w:webHidden/>
              </w:rPr>
              <w:t>9</w:t>
            </w:r>
            <w:r w:rsidR="00CE7D50">
              <w:rPr>
                <w:noProof/>
                <w:webHidden/>
              </w:rPr>
              <w:fldChar w:fldCharType="end"/>
            </w:r>
          </w:hyperlink>
        </w:p>
        <w:p w:rsidR="00CE7D50" w:rsidRDefault="00D14B7C">
          <w:pPr>
            <w:pStyle w:val="TOC1"/>
            <w:tabs>
              <w:tab w:val="right" w:leader="dot" w:pos="9620"/>
            </w:tabs>
            <w:rPr>
              <w:rFonts w:cstheme="minorBidi"/>
              <w:noProof/>
              <w:sz w:val="22"/>
              <w:szCs w:val="22"/>
            </w:rPr>
          </w:pPr>
          <w:hyperlink w:anchor="_Toc492292890" w:history="1">
            <w:r w:rsidR="00CE7D50" w:rsidRPr="00BC258D">
              <w:rPr>
                <w:rStyle w:val="Hyperlink"/>
                <w:noProof/>
              </w:rPr>
              <w:t>Biorisk management of poliovirus potentially infectious materials</w:t>
            </w:r>
            <w:r w:rsidR="00CE7D50">
              <w:rPr>
                <w:noProof/>
                <w:webHidden/>
              </w:rPr>
              <w:tab/>
            </w:r>
            <w:r w:rsidR="00CE7D50">
              <w:rPr>
                <w:noProof/>
                <w:webHidden/>
              </w:rPr>
              <w:fldChar w:fldCharType="begin"/>
            </w:r>
            <w:r w:rsidR="00CE7D50">
              <w:rPr>
                <w:noProof/>
                <w:webHidden/>
              </w:rPr>
              <w:instrText xml:space="preserve"> PAGEREF _Toc492292890 \h </w:instrText>
            </w:r>
            <w:r w:rsidR="00CE7D50">
              <w:rPr>
                <w:noProof/>
                <w:webHidden/>
              </w:rPr>
            </w:r>
            <w:r w:rsidR="00CE7D50">
              <w:rPr>
                <w:noProof/>
                <w:webHidden/>
              </w:rPr>
              <w:fldChar w:fldCharType="separate"/>
            </w:r>
            <w:r w:rsidR="00CE7D50">
              <w:rPr>
                <w:noProof/>
                <w:webHidden/>
              </w:rPr>
              <w:t>10</w:t>
            </w:r>
            <w:r w:rsidR="00CE7D50">
              <w:rPr>
                <w:noProof/>
                <w:webHidden/>
              </w:rPr>
              <w:fldChar w:fldCharType="end"/>
            </w:r>
          </w:hyperlink>
        </w:p>
        <w:p w:rsidR="00CE7D50" w:rsidRDefault="00D14B7C">
          <w:pPr>
            <w:pStyle w:val="TOC2"/>
            <w:tabs>
              <w:tab w:val="left" w:pos="1873"/>
              <w:tab w:val="right" w:leader="dot" w:pos="9620"/>
            </w:tabs>
            <w:rPr>
              <w:rFonts w:cstheme="minorBidi"/>
              <w:noProof/>
              <w:sz w:val="22"/>
              <w:szCs w:val="22"/>
              <w:lang w:val="en-US" w:eastAsia="zh-CN"/>
            </w:rPr>
          </w:pPr>
          <w:hyperlink w:anchor="_Toc492292891" w:history="1">
            <w:r w:rsidR="00CE7D50" w:rsidRPr="00BC258D">
              <w:rPr>
                <w:rStyle w:val="Hyperlink"/>
                <w:noProof/>
              </w:rPr>
              <w:t>A.</w:t>
            </w:r>
            <w:r w:rsidR="00CE7D50">
              <w:rPr>
                <w:rFonts w:cstheme="minorBidi"/>
                <w:noProof/>
                <w:sz w:val="22"/>
                <w:szCs w:val="22"/>
                <w:lang w:val="en-US" w:eastAsia="zh-CN"/>
              </w:rPr>
              <w:tab/>
            </w:r>
            <w:r w:rsidR="00CE7D50" w:rsidRPr="00BC258D">
              <w:rPr>
                <w:rStyle w:val="Hyperlink"/>
                <w:noProof/>
              </w:rPr>
              <w:t>Collections with potential for WPV/cVDPV.</w:t>
            </w:r>
            <w:r w:rsidR="00CE7D50">
              <w:rPr>
                <w:noProof/>
                <w:webHidden/>
              </w:rPr>
              <w:tab/>
            </w:r>
            <w:r w:rsidR="00CE7D50">
              <w:rPr>
                <w:noProof/>
                <w:webHidden/>
              </w:rPr>
              <w:fldChar w:fldCharType="begin"/>
            </w:r>
            <w:r w:rsidR="00CE7D50">
              <w:rPr>
                <w:noProof/>
                <w:webHidden/>
              </w:rPr>
              <w:instrText xml:space="preserve"> PAGEREF _Toc492292891 \h </w:instrText>
            </w:r>
            <w:r w:rsidR="00CE7D50">
              <w:rPr>
                <w:noProof/>
                <w:webHidden/>
              </w:rPr>
            </w:r>
            <w:r w:rsidR="00CE7D50">
              <w:rPr>
                <w:noProof/>
                <w:webHidden/>
              </w:rPr>
              <w:fldChar w:fldCharType="separate"/>
            </w:r>
            <w:r w:rsidR="00CE7D50">
              <w:rPr>
                <w:noProof/>
                <w:webHidden/>
              </w:rPr>
              <w:t>10</w:t>
            </w:r>
            <w:r w:rsidR="00CE7D50">
              <w:rPr>
                <w:noProof/>
                <w:webHidden/>
              </w:rPr>
              <w:fldChar w:fldCharType="end"/>
            </w:r>
          </w:hyperlink>
        </w:p>
        <w:p w:rsidR="00CE7D50" w:rsidRDefault="00D14B7C">
          <w:pPr>
            <w:pStyle w:val="TOC2"/>
            <w:tabs>
              <w:tab w:val="left" w:pos="1873"/>
              <w:tab w:val="right" w:leader="dot" w:pos="9620"/>
            </w:tabs>
            <w:rPr>
              <w:rFonts w:cstheme="minorBidi"/>
              <w:noProof/>
              <w:sz w:val="22"/>
              <w:szCs w:val="22"/>
              <w:lang w:val="en-US" w:eastAsia="zh-CN"/>
            </w:rPr>
          </w:pPr>
          <w:hyperlink w:anchor="_Toc492292892" w:history="1">
            <w:r w:rsidR="00CE7D50" w:rsidRPr="00BC258D">
              <w:rPr>
                <w:rStyle w:val="Hyperlink"/>
                <w:noProof/>
              </w:rPr>
              <w:t>B.</w:t>
            </w:r>
            <w:r w:rsidR="00CE7D50">
              <w:rPr>
                <w:rFonts w:cstheme="minorBidi"/>
                <w:noProof/>
                <w:sz w:val="22"/>
                <w:szCs w:val="22"/>
                <w:lang w:val="en-US" w:eastAsia="zh-CN"/>
              </w:rPr>
              <w:tab/>
            </w:r>
            <w:r w:rsidR="00CE7D50" w:rsidRPr="00BC258D">
              <w:rPr>
                <w:rStyle w:val="Hyperlink"/>
                <w:noProof/>
              </w:rPr>
              <w:t>Collections with potential only for OPV/Sabin and related strains</w:t>
            </w:r>
            <w:r w:rsidR="00CE7D50">
              <w:rPr>
                <w:noProof/>
                <w:webHidden/>
              </w:rPr>
              <w:tab/>
            </w:r>
            <w:r w:rsidR="00CE7D50">
              <w:rPr>
                <w:noProof/>
                <w:webHidden/>
              </w:rPr>
              <w:fldChar w:fldCharType="begin"/>
            </w:r>
            <w:r w:rsidR="00CE7D50">
              <w:rPr>
                <w:noProof/>
                <w:webHidden/>
              </w:rPr>
              <w:instrText xml:space="preserve"> PAGEREF _Toc492292892 \h </w:instrText>
            </w:r>
            <w:r w:rsidR="00CE7D50">
              <w:rPr>
                <w:noProof/>
                <w:webHidden/>
              </w:rPr>
            </w:r>
            <w:r w:rsidR="00CE7D50">
              <w:rPr>
                <w:noProof/>
                <w:webHidden/>
              </w:rPr>
              <w:fldChar w:fldCharType="separate"/>
            </w:r>
            <w:r w:rsidR="00CE7D50">
              <w:rPr>
                <w:noProof/>
                <w:webHidden/>
              </w:rPr>
              <w:t>10</w:t>
            </w:r>
            <w:r w:rsidR="00CE7D50">
              <w:rPr>
                <w:noProof/>
                <w:webHidden/>
              </w:rPr>
              <w:fldChar w:fldCharType="end"/>
            </w:r>
          </w:hyperlink>
        </w:p>
        <w:p w:rsidR="00CE7D50" w:rsidRDefault="00D14B7C">
          <w:pPr>
            <w:pStyle w:val="TOC3"/>
            <w:rPr>
              <w:rFonts w:cstheme="minorBidi"/>
              <w:noProof/>
              <w:sz w:val="22"/>
              <w:szCs w:val="22"/>
            </w:rPr>
          </w:pPr>
          <w:hyperlink w:anchor="_Toc492292893" w:history="1">
            <w:r w:rsidR="00CE7D50" w:rsidRPr="00BC258D">
              <w:rPr>
                <w:rStyle w:val="Hyperlink"/>
                <w:noProof/>
              </w:rPr>
              <w:t>Level 1: Guidance for facilities with collections in the moderate group</w:t>
            </w:r>
            <w:r w:rsidR="00CE7D50">
              <w:rPr>
                <w:noProof/>
                <w:webHidden/>
              </w:rPr>
              <w:tab/>
            </w:r>
            <w:r w:rsidR="00CE7D50">
              <w:rPr>
                <w:noProof/>
                <w:webHidden/>
              </w:rPr>
              <w:fldChar w:fldCharType="begin"/>
            </w:r>
            <w:r w:rsidR="00CE7D50">
              <w:rPr>
                <w:noProof/>
                <w:webHidden/>
              </w:rPr>
              <w:instrText xml:space="preserve"> PAGEREF _Toc492292893 \h </w:instrText>
            </w:r>
            <w:r w:rsidR="00CE7D50">
              <w:rPr>
                <w:noProof/>
                <w:webHidden/>
              </w:rPr>
            </w:r>
            <w:r w:rsidR="00CE7D50">
              <w:rPr>
                <w:noProof/>
                <w:webHidden/>
              </w:rPr>
              <w:fldChar w:fldCharType="separate"/>
            </w:r>
            <w:r w:rsidR="00CE7D50">
              <w:rPr>
                <w:noProof/>
                <w:webHidden/>
              </w:rPr>
              <w:t>12</w:t>
            </w:r>
            <w:r w:rsidR="00CE7D50">
              <w:rPr>
                <w:noProof/>
                <w:webHidden/>
              </w:rPr>
              <w:fldChar w:fldCharType="end"/>
            </w:r>
          </w:hyperlink>
        </w:p>
        <w:p w:rsidR="00CE7D50" w:rsidRDefault="00D14B7C">
          <w:pPr>
            <w:pStyle w:val="TOC3"/>
            <w:rPr>
              <w:rFonts w:cstheme="minorBidi"/>
              <w:noProof/>
              <w:sz w:val="22"/>
              <w:szCs w:val="22"/>
            </w:rPr>
          </w:pPr>
          <w:hyperlink w:anchor="_Toc492292894" w:history="1">
            <w:r w:rsidR="00CE7D50" w:rsidRPr="00BC258D">
              <w:rPr>
                <w:rStyle w:val="Hyperlink"/>
                <w:noProof/>
              </w:rPr>
              <w:t>Level 2: Guidance for facilities with collections in the low group</w:t>
            </w:r>
            <w:r w:rsidR="00CE7D50">
              <w:rPr>
                <w:noProof/>
                <w:webHidden/>
              </w:rPr>
              <w:tab/>
            </w:r>
            <w:r w:rsidR="00CE7D50">
              <w:rPr>
                <w:noProof/>
                <w:webHidden/>
              </w:rPr>
              <w:fldChar w:fldCharType="begin"/>
            </w:r>
            <w:r w:rsidR="00CE7D50">
              <w:rPr>
                <w:noProof/>
                <w:webHidden/>
              </w:rPr>
              <w:instrText xml:space="preserve"> PAGEREF _Toc492292894 \h </w:instrText>
            </w:r>
            <w:r w:rsidR="00CE7D50">
              <w:rPr>
                <w:noProof/>
                <w:webHidden/>
              </w:rPr>
            </w:r>
            <w:r w:rsidR="00CE7D50">
              <w:rPr>
                <w:noProof/>
                <w:webHidden/>
              </w:rPr>
              <w:fldChar w:fldCharType="separate"/>
            </w:r>
            <w:r w:rsidR="00CE7D50">
              <w:rPr>
                <w:noProof/>
                <w:webHidden/>
              </w:rPr>
              <w:t>12</w:t>
            </w:r>
            <w:r w:rsidR="00CE7D50">
              <w:rPr>
                <w:noProof/>
                <w:webHidden/>
              </w:rPr>
              <w:fldChar w:fldCharType="end"/>
            </w:r>
          </w:hyperlink>
        </w:p>
        <w:p w:rsidR="00CE7D50" w:rsidRDefault="00D14B7C">
          <w:pPr>
            <w:pStyle w:val="TOC3"/>
            <w:rPr>
              <w:rFonts w:cstheme="minorBidi"/>
              <w:noProof/>
              <w:sz w:val="22"/>
              <w:szCs w:val="22"/>
            </w:rPr>
          </w:pPr>
          <w:hyperlink w:anchor="_Toc492292895" w:history="1">
            <w:r w:rsidR="00CE7D50" w:rsidRPr="00BC258D">
              <w:rPr>
                <w:rStyle w:val="Hyperlink"/>
                <w:noProof/>
              </w:rPr>
              <w:t>Level 3: Guidance for facilities with collections in the lowest risk group</w:t>
            </w:r>
            <w:r w:rsidR="00CE7D50">
              <w:rPr>
                <w:noProof/>
                <w:webHidden/>
              </w:rPr>
              <w:tab/>
            </w:r>
            <w:r w:rsidR="00CE7D50">
              <w:rPr>
                <w:noProof/>
                <w:webHidden/>
              </w:rPr>
              <w:fldChar w:fldCharType="begin"/>
            </w:r>
            <w:r w:rsidR="00CE7D50">
              <w:rPr>
                <w:noProof/>
                <w:webHidden/>
              </w:rPr>
              <w:instrText xml:space="preserve"> PAGEREF _Toc492292895 \h </w:instrText>
            </w:r>
            <w:r w:rsidR="00CE7D50">
              <w:rPr>
                <w:noProof/>
                <w:webHidden/>
              </w:rPr>
            </w:r>
            <w:r w:rsidR="00CE7D50">
              <w:rPr>
                <w:noProof/>
                <w:webHidden/>
              </w:rPr>
              <w:fldChar w:fldCharType="separate"/>
            </w:r>
            <w:r w:rsidR="00CE7D50">
              <w:rPr>
                <w:noProof/>
                <w:webHidden/>
              </w:rPr>
              <w:t>12</w:t>
            </w:r>
            <w:r w:rsidR="00CE7D50">
              <w:rPr>
                <w:noProof/>
                <w:webHidden/>
              </w:rPr>
              <w:fldChar w:fldCharType="end"/>
            </w:r>
          </w:hyperlink>
        </w:p>
        <w:p w:rsidR="00CE7D50" w:rsidRDefault="00D14B7C">
          <w:pPr>
            <w:pStyle w:val="TOC3"/>
            <w:rPr>
              <w:rFonts w:cstheme="minorBidi"/>
              <w:noProof/>
              <w:sz w:val="22"/>
              <w:szCs w:val="22"/>
            </w:rPr>
          </w:pPr>
          <w:hyperlink w:anchor="_Toc492292896" w:history="1">
            <w:r w:rsidR="00CE7D50" w:rsidRPr="00BC258D">
              <w:rPr>
                <w:rStyle w:val="Hyperlink"/>
                <w:noProof/>
              </w:rPr>
              <w:t>Guidance for short-term retention of historical collections while final disposition is being determined</w:t>
            </w:r>
            <w:r w:rsidR="00CE7D50">
              <w:rPr>
                <w:noProof/>
                <w:webHidden/>
              </w:rPr>
              <w:tab/>
            </w:r>
            <w:r w:rsidR="00CE7D50">
              <w:rPr>
                <w:noProof/>
                <w:webHidden/>
              </w:rPr>
              <w:fldChar w:fldCharType="begin"/>
            </w:r>
            <w:r w:rsidR="00CE7D50">
              <w:rPr>
                <w:noProof/>
                <w:webHidden/>
              </w:rPr>
              <w:instrText xml:space="preserve"> PAGEREF _Toc492292896 \h </w:instrText>
            </w:r>
            <w:r w:rsidR="00CE7D50">
              <w:rPr>
                <w:noProof/>
                <w:webHidden/>
              </w:rPr>
            </w:r>
            <w:r w:rsidR="00CE7D50">
              <w:rPr>
                <w:noProof/>
                <w:webHidden/>
              </w:rPr>
              <w:fldChar w:fldCharType="separate"/>
            </w:r>
            <w:r w:rsidR="00CE7D50">
              <w:rPr>
                <w:noProof/>
                <w:webHidden/>
              </w:rPr>
              <w:t>13</w:t>
            </w:r>
            <w:r w:rsidR="00CE7D50">
              <w:rPr>
                <w:noProof/>
                <w:webHidden/>
              </w:rPr>
              <w:fldChar w:fldCharType="end"/>
            </w:r>
          </w:hyperlink>
        </w:p>
        <w:p w:rsidR="00CE7D50" w:rsidRDefault="00D14B7C">
          <w:pPr>
            <w:pStyle w:val="TOC1"/>
            <w:tabs>
              <w:tab w:val="right" w:leader="dot" w:pos="9620"/>
            </w:tabs>
            <w:rPr>
              <w:rFonts w:cstheme="minorBidi"/>
              <w:noProof/>
              <w:sz w:val="22"/>
              <w:szCs w:val="22"/>
            </w:rPr>
          </w:pPr>
          <w:hyperlink w:anchor="_Toc492292897" w:history="1">
            <w:r w:rsidR="00CE7D50" w:rsidRPr="00BC258D">
              <w:rPr>
                <w:rStyle w:val="Hyperlink"/>
                <w:noProof/>
              </w:rPr>
              <w:t>Annex 1: Risk Assessment for categorization of poliovirus potentially infectious materials **</w:t>
            </w:r>
            <w:r w:rsidR="00CE7D50">
              <w:rPr>
                <w:noProof/>
                <w:webHidden/>
              </w:rPr>
              <w:tab/>
            </w:r>
            <w:r w:rsidR="00CE7D50">
              <w:rPr>
                <w:noProof/>
                <w:webHidden/>
              </w:rPr>
              <w:fldChar w:fldCharType="begin"/>
            </w:r>
            <w:r w:rsidR="00CE7D50">
              <w:rPr>
                <w:noProof/>
                <w:webHidden/>
              </w:rPr>
              <w:instrText xml:space="preserve"> PAGEREF _Toc492292897 \h </w:instrText>
            </w:r>
            <w:r w:rsidR="00CE7D50">
              <w:rPr>
                <w:noProof/>
                <w:webHidden/>
              </w:rPr>
            </w:r>
            <w:r w:rsidR="00CE7D50">
              <w:rPr>
                <w:noProof/>
                <w:webHidden/>
              </w:rPr>
              <w:fldChar w:fldCharType="separate"/>
            </w:r>
            <w:r w:rsidR="00CE7D50">
              <w:rPr>
                <w:noProof/>
                <w:webHidden/>
              </w:rPr>
              <w:t>14</w:t>
            </w:r>
            <w:r w:rsidR="00CE7D50">
              <w:rPr>
                <w:noProof/>
                <w:webHidden/>
              </w:rPr>
              <w:fldChar w:fldCharType="end"/>
            </w:r>
          </w:hyperlink>
        </w:p>
        <w:p w:rsidR="00CE7D50" w:rsidRDefault="00D14B7C">
          <w:pPr>
            <w:pStyle w:val="TOC3"/>
            <w:rPr>
              <w:rFonts w:cstheme="minorBidi"/>
              <w:noProof/>
              <w:sz w:val="22"/>
              <w:szCs w:val="22"/>
            </w:rPr>
          </w:pPr>
          <w:hyperlink w:anchor="_Toc492292898" w:history="1">
            <w:r w:rsidR="00CE7D50" w:rsidRPr="00BC258D">
              <w:rPr>
                <w:rStyle w:val="Hyperlink"/>
                <w:noProof/>
              </w:rPr>
              <w:t>1.</w:t>
            </w:r>
            <w:r w:rsidR="00CE7D50">
              <w:rPr>
                <w:rFonts w:cstheme="minorBidi"/>
                <w:noProof/>
                <w:sz w:val="22"/>
                <w:szCs w:val="22"/>
              </w:rPr>
              <w:tab/>
            </w:r>
            <w:r w:rsidR="00CE7D50" w:rsidRPr="00BC258D">
              <w:rPr>
                <w:rStyle w:val="Hyperlink"/>
                <w:noProof/>
              </w:rPr>
              <w:t>When and where samples collected</w:t>
            </w:r>
            <w:r w:rsidR="00CE7D50">
              <w:rPr>
                <w:noProof/>
                <w:webHidden/>
              </w:rPr>
              <w:tab/>
            </w:r>
            <w:r w:rsidR="00CE7D50">
              <w:rPr>
                <w:noProof/>
                <w:webHidden/>
              </w:rPr>
              <w:fldChar w:fldCharType="begin"/>
            </w:r>
            <w:r w:rsidR="00CE7D50">
              <w:rPr>
                <w:noProof/>
                <w:webHidden/>
              </w:rPr>
              <w:instrText xml:space="preserve"> PAGEREF _Toc492292898 \h </w:instrText>
            </w:r>
            <w:r w:rsidR="00CE7D50">
              <w:rPr>
                <w:noProof/>
                <w:webHidden/>
              </w:rPr>
            </w:r>
            <w:r w:rsidR="00CE7D50">
              <w:rPr>
                <w:noProof/>
                <w:webHidden/>
              </w:rPr>
              <w:fldChar w:fldCharType="separate"/>
            </w:r>
            <w:r w:rsidR="00CE7D50">
              <w:rPr>
                <w:noProof/>
                <w:webHidden/>
              </w:rPr>
              <w:t>14</w:t>
            </w:r>
            <w:r w:rsidR="00CE7D50">
              <w:rPr>
                <w:noProof/>
                <w:webHidden/>
              </w:rPr>
              <w:fldChar w:fldCharType="end"/>
            </w:r>
          </w:hyperlink>
        </w:p>
        <w:p w:rsidR="00CE7D50" w:rsidRDefault="00D14B7C">
          <w:pPr>
            <w:pStyle w:val="TOC3"/>
            <w:rPr>
              <w:rFonts w:cstheme="minorBidi"/>
              <w:noProof/>
              <w:sz w:val="22"/>
              <w:szCs w:val="22"/>
            </w:rPr>
          </w:pPr>
          <w:hyperlink w:anchor="_Toc492292899" w:history="1">
            <w:r w:rsidR="00CE7D50" w:rsidRPr="00BC258D">
              <w:rPr>
                <w:rStyle w:val="Hyperlink"/>
                <w:noProof/>
              </w:rPr>
              <w:t>2.</w:t>
            </w:r>
            <w:r w:rsidR="00CE7D50">
              <w:rPr>
                <w:rFonts w:cstheme="minorBidi"/>
                <w:noProof/>
                <w:sz w:val="22"/>
                <w:szCs w:val="22"/>
              </w:rPr>
              <w:tab/>
            </w:r>
            <w:r w:rsidR="00CE7D50" w:rsidRPr="00BC258D">
              <w:rPr>
                <w:rStyle w:val="Hyperlink"/>
                <w:noProof/>
              </w:rPr>
              <w:t>What samples collected</w:t>
            </w:r>
            <w:r w:rsidR="00CE7D50">
              <w:rPr>
                <w:noProof/>
                <w:webHidden/>
              </w:rPr>
              <w:tab/>
            </w:r>
            <w:r w:rsidR="00CE7D50">
              <w:rPr>
                <w:noProof/>
                <w:webHidden/>
              </w:rPr>
              <w:fldChar w:fldCharType="begin"/>
            </w:r>
            <w:r w:rsidR="00CE7D50">
              <w:rPr>
                <w:noProof/>
                <w:webHidden/>
              </w:rPr>
              <w:instrText xml:space="preserve"> PAGEREF _Toc492292899 \h </w:instrText>
            </w:r>
            <w:r w:rsidR="00CE7D50">
              <w:rPr>
                <w:noProof/>
                <w:webHidden/>
              </w:rPr>
            </w:r>
            <w:r w:rsidR="00CE7D50">
              <w:rPr>
                <w:noProof/>
                <w:webHidden/>
              </w:rPr>
              <w:fldChar w:fldCharType="separate"/>
            </w:r>
            <w:r w:rsidR="00CE7D50">
              <w:rPr>
                <w:noProof/>
                <w:webHidden/>
              </w:rPr>
              <w:t>14</w:t>
            </w:r>
            <w:r w:rsidR="00CE7D50">
              <w:rPr>
                <w:noProof/>
                <w:webHidden/>
              </w:rPr>
              <w:fldChar w:fldCharType="end"/>
            </w:r>
          </w:hyperlink>
        </w:p>
        <w:p w:rsidR="00CE7D50" w:rsidRDefault="00D14B7C">
          <w:pPr>
            <w:pStyle w:val="TOC3"/>
            <w:rPr>
              <w:rFonts w:cstheme="minorBidi"/>
              <w:noProof/>
              <w:sz w:val="22"/>
              <w:szCs w:val="22"/>
            </w:rPr>
          </w:pPr>
          <w:hyperlink w:anchor="_Toc492292900" w:history="1">
            <w:r w:rsidR="00CE7D50" w:rsidRPr="00BC258D">
              <w:rPr>
                <w:rStyle w:val="Hyperlink"/>
                <w:noProof/>
              </w:rPr>
              <w:t>3.</w:t>
            </w:r>
            <w:r w:rsidR="00CE7D50">
              <w:rPr>
                <w:rFonts w:cstheme="minorBidi"/>
                <w:noProof/>
                <w:sz w:val="22"/>
                <w:szCs w:val="22"/>
              </w:rPr>
              <w:tab/>
            </w:r>
            <w:r w:rsidR="00CE7D50" w:rsidRPr="00BC258D">
              <w:rPr>
                <w:rStyle w:val="Hyperlink"/>
                <w:noProof/>
              </w:rPr>
              <w:t>Age of subjects</w:t>
            </w:r>
            <w:r w:rsidR="00CE7D50">
              <w:rPr>
                <w:noProof/>
                <w:webHidden/>
              </w:rPr>
              <w:tab/>
            </w:r>
            <w:r w:rsidR="00CE7D50">
              <w:rPr>
                <w:noProof/>
                <w:webHidden/>
              </w:rPr>
              <w:fldChar w:fldCharType="begin"/>
            </w:r>
            <w:r w:rsidR="00CE7D50">
              <w:rPr>
                <w:noProof/>
                <w:webHidden/>
              </w:rPr>
              <w:instrText xml:space="preserve"> PAGEREF _Toc492292900 \h </w:instrText>
            </w:r>
            <w:r w:rsidR="00CE7D50">
              <w:rPr>
                <w:noProof/>
                <w:webHidden/>
              </w:rPr>
            </w:r>
            <w:r w:rsidR="00CE7D50">
              <w:rPr>
                <w:noProof/>
                <w:webHidden/>
              </w:rPr>
              <w:fldChar w:fldCharType="separate"/>
            </w:r>
            <w:r w:rsidR="00CE7D50">
              <w:rPr>
                <w:noProof/>
                <w:webHidden/>
              </w:rPr>
              <w:t>15</w:t>
            </w:r>
            <w:r w:rsidR="00CE7D50">
              <w:rPr>
                <w:noProof/>
                <w:webHidden/>
              </w:rPr>
              <w:fldChar w:fldCharType="end"/>
            </w:r>
          </w:hyperlink>
        </w:p>
        <w:p w:rsidR="00CE7D50" w:rsidRDefault="00D14B7C">
          <w:pPr>
            <w:pStyle w:val="TOC3"/>
            <w:rPr>
              <w:rFonts w:cstheme="minorBidi"/>
              <w:noProof/>
              <w:sz w:val="22"/>
              <w:szCs w:val="22"/>
            </w:rPr>
          </w:pPr>
          <w:hyperlink w:anchor="_Toc492292901" w:history="1">
            <w:r w:rsidR="00CE7D50" w:rsidRPr="00BC258D">
              <w:rPr>
                <w:rStyle w:val="Hyperlink"/>
                <w:noProof/>
              </w:rPr>
              <w:t>4.</w:t>
            </w:r>
            <w:r w:rsidR="00CE7D50">
              <w:rPr>
                <w:rFonts w:cstheme="minorBidi"/>
                <w:noProof/>
                <w:sz w:val="22"/>
                <w:szCs w:val="22"/>
              </w:rPr>
              <w:tab/>
            </w:r>
            <w:r w:rsidR="00CE7D50" w:rsidRPr="00BC258D">
              <w:rPr>
                <w:rStyle w:val="Hyperlink"/>
                <w:noProof/>
              </w:rPr>
              <w:t>Laboratory hazards</w:t>
            </w:r>
            <w:r w:rsidR="00CE7D50">
              <w:rPr>
                <w:noProof/>
                <w:webHidden/>
              </w:rPr>
              <w:tab/>
            </w:r>
            <w:r w:rsidR="00CE7D50">
              <w:rPr>
                <w:noProof/>
                <w:webHidden/>
              </w:rPr>
              <w:fldChar w:fldCharType="begin"/>
            </w:r>
            <w:r w:rsidR="00CE7D50">
              <w:rPr>
                <w:noProof/>
                <w:webHidden/>
              </w:rPr>
              <w:instrText xml:space="preserve"> PAGEREF _Toc492292901 \h </w:instrText>
            </w:r>
            <w:r w:rsidR="00CE7D50">
              <w:rPr>
                <w:noProof/>
                <w:webHidden/>
              </w:rPr>
            </w:r>
            <w:r w:rsidR="00CE7D50">
              <w:rPr>
                <w:noProof/>
                <w:webHidden/>
              </w:rPr>
              <w:fldChar w:fldCharType="separate"/>
            </w:r>
            <w:r w:rsidR="00CE7D50">
              <w:rPr>
                <w:noProof/>
                <w:webHidden/>
              </w:rPr>
              <w:t>16</w:t>
            </w:r>
            <w:r w:rsidR="00CE7D50">
              <w:rPr>
                <w:noProof/>
                <w:webHidden/>
              </w:rPr>
              <w:fldChar w:fldCharType="end"/>
            </w:r>
          </w:hyperlink>
        </w:p>
        <w:p w:rsidR="00CE7D50" w:rsidRDefault="00D14B7C">
          <w:pPr>
            <w:pStyle w:val="TOC3"/>
            <w:rPr>
              <w:rFonts w:cstheme="minorBidi"/>
              <w:noProof/>
              <w:sz w:val="22"/>
              <w:szCs w:val="22"/>
            </w:rPr>
          </w:pPr>
          <w:hyperlink w:anchor="_Toc492292902" w:history="1">
            <w:r w:rsidR="00CE7D50" w:rsidRPr="00BC258D">
              <w:rPr>
                <w:rStyle w:val="Hyperlink"/>
                <w:noProof/>
              </w:rPr>
              <w:t>5.</w:t>
            </w:r>
            <w:r w:rsidR="00CE7D50">
              <w:rPr>
                <w:rFonts w:cstheme="minorBidi"/>
                <w:noProof/>
                <w:sz w:val="22"/>
                <w:szCs w:val="22"/>
              </w:rPr>
              <w:tab/>
            </w:r>
            <w:r w:rsidR="00CE7D50" w:rsidRPr="00BC258D">
              <w:rPr>
                <w:rStyle w:val="Hyperlink"/>
                <w:noProof/>
              </w:rPr>
              <w:t>Facility effluent potential</w:t>
            </w:r>
            <w:r w:rsidR="00CE7D50">
              <w:rPr>
                <w:noProof/>
                <w:webHidden/>
              </w:rPr>
              <w:tab/>
            </w:r>
            <w:r w:rsidR="00CE7D50">
              <w:rPr>
                <w:noProof/>
                <w:webHidden/>
              </w:rPr>
              <w:fldChar w:fldCharType="begin"/>
            </w:r>
            <w:r w:rsidR="00CE7D50">
              <w:rPr>
                <w:noProof/>
                <w:webHidden/>
              </w:rPr>
              <w:instrText xml:space="preserve"> PAGEREF _Toc492292902 \h </w:instrText>
            </w:r>
            <w:r w:rsidR="00CE7D50">
              <w:rPr>
                <w:noProof/>
                <w:webHidden/>
              </w:rPr>
            </w:r>
            <w:r w:rsidR="00CE7D50">
              <w:rPr>
                <w:noProof/>
                <w:webHidden/>
              </w:rPr>
              <w:fldChar w:fldCharType="separate"/>
            </w:r>
            <w:r w:rsidR="00CE7D50">
              <w:rPr>
                <w:noProof/>
                <w:webHidden/>
              </w:rPr>
              <w:t>16</w:t>
            </w:r>
            <w:r w:rsidR="00CE7D50">
              <w:rPr>
                <w:noProof/>
                <w:webHidden/>
              </w:rPr>
              <w:fldChar w:fldCharType="end"/>
            </w:r>
          </w:hyperlink>
        </w:p>
        <w:p w:rsidR="00CE7D50" w:rsidRDefault="00D14B7C">
          <w:pPr>
            <w:pStyle w:val="TOC3"/>
            <w:rPr>
              <w:rFonts w:cstheme="minorBidi"/>
              <w:noProof/>
              <w:sz w:val="22"/>
              <w:szCs w:val="22"/>
            </w:rPr>
          </w:pPr>
          <w:hyperlink w:anchor="_Toc492292903" w:history="1">
            <w:r w:rsidR="00CE7D50" w:rsidRPr="00BC258D">
              <w:rPr>
                <w:rStyle w:val="Hyperlink"/>
                <w:noProof/>
              </w:rPr>
              <w:t>6.</w:t>
            </w:r>
            <w:r w:rsidR="00CE7D50">
              <w:rPr>
                <w:rFonts w:cstheme="minorBidi"/>
                <w:noProof/>
                <w:sz w:val="22"/>
                <w:szCs w:val="22"/>
              </w:rPr>
              <w:tab/>
            </w:r>
            <w:r w:rsidR="00CE7D50" w:rsidRPr="00BC258D">
              <w:rPr>
                <w:rStyle w:val="Hyperlink"/>
                <w:noProof/>
              </w:rPr>
              <w:t>Worker/community susceptibility</w:t>
            </w:r>
            <w:r w:rsidR="00CE7D50">
              <w:rPr>
                <w:noProof/>
                <w:webHidden/>
              </w:rPr>
              <w:tab/>
            </w:r>
            <w:r w:rsidR="00CE7D50">
              <w:rPr>
                <w:noProof/>
                <w:webHidden/>
              </w:rPr>
              <w:fldChar w:fldCharType="begin"/>
            </w:r>
            <w:r w:rsidR="00CE7D50">
              <w:rPr>
                <w:noProof/>
                <w:webHidden/>
              </w:rPr>
              <w:instrText xml:space="preserve"> PAGEREF _Toc492292903 \h </w:instrText>
            </w:r>
            <w:r w:rsidR="00CE7D50">
              <w:rPr>
                <w:noProof/>
                <w:webHidden/>
              </w:rPr>
            </w:r>
            <w:r w:rsidR="00CE7D50">
              <w:rPr>
                <w:noProof/>
                <w:webHidden/>
              </w:rPr>
              <w:fldChar w:fldCharType="separate"/>
            </w:r>
            <w:r w:rsidR="00CE7D50">
              <w:rPr>
                <w:noProof/>
                <w:webHidden/>
              </w:rPr>
              <w:t>16</w:t>
            </w:r>
            <w:r w:rsidR="00CE7D50">
              <w:rPr>
                <w:noProof/>
                <w:webHidden/>
              </w:rPr>
              <w:fldChar w:fldCharType="end"/>
            </w:r>
          </w:hyperlink>
        </w:p>
        <w:p w:rsidR="00CE7D50" w:rsidRDefault="00D14B7C">
          <w:pPr>
            <w:pStyle w:val="TOC1"/>
            <w:tabs>
              <w:tab w:val="right" w:leader="dot" w:pos="9620"/>
            </w:tabs>
            <w:rPr>
              <w:rFonts w:cstheme="minorBidi"/>
              <w:noProof/>
              <w:sz w:val="22"/>
              <w:szCs w:val="22"/>
            </w:rPr>
          </w:pPr>
          <w:hyperlink w:anchor="_Toc492292904" w:history="1">
            <w:r w:rsidR="00CE7D50" w:rsidRPr="00BC258D">
              <w:rPr>
                <w:rStyle w:val="Hyperlink"/>
                <w:noProof/>
              </w:rPr>
              <w:t>Annex 2. Poliovirus permissive cell lines</w:t>
            </w:r>
            <w:r w:rsidR="00CE7D50">
              <w:rPr>
                <w:noProof/>
                <w:webHidden/>
              </w:rPr>
              <w:tab/>
            </w:r>
            <w:r w:rsidR="00CE7D50">
              <w:rPr>
                <w:noProof/>
                <w:webHidden/>
              </w:rPr>
              <w:fldChar w:fldCharType="begin"/>
            </w:r>
            <w:r w:rsidR="00CE7D50">
              <w:rPr>
                <w:noProof/>
                <w:webHidden/>
              </w:rPr>
              <w:instrText xml:space="preserve"> PAGEREF _Toc492292904 \h </w:instrText>
            </w:r>
            <w:r w:rsidR="00CE7D50">
              <w:rPr>
                <w:noProof/>
                <w:webHidden/>
              </w:rPr>
            </w:r>
            <w:r w:rsidR="00CE7D50">
              <w:rPr>
                <w:noProof/>
                <w:webHidden/>
              </w:rPr>
              <w:fldChar w:fldCharType="separate"/>
            </w:r>
            <w:r w:rsidR="00CE7D50">
              <w:rPr>
                <w:noProof/>
                <w:webHidden/>
              </w:rPr>
              <w:t>18</w:t>
            </w:r>
            <w:r w:rsidR="00CE7D50">
              <w:rPr>
                <w:noProof/>
                <w:webHidden/>
              </w:rPr>
              <w:fldChar w:fldCharType="end"/>
            </w:r>
          </w:hyperlink>
        </w:p>
        <w:p w:rsidR="00CE7D50" w:rsidRDefault="00D14B7C">
          <w:pPr>
            <w:pStyle w:val="TOC1"/>
            <w:tabs>
              <w:tab w:val="right" w:leader="dot" w:pos="9620"/>
            </w:tabs>
            <w:rPr>
              <w:rFonts w:cstheme="minorBidi"/>
              <w:noProof/>
              <w:sz w:val="22"/>
              <w:szCs w:val="22"/>
            </w:rPr>
          </w:pPr>
          <w:hyperlink w:anchor="_Toc492292905" w:history="1">
            <w:r w:rsidR="00CE7D50" w:rsidRPr="00BC258D">
              <w:rPr>
                <w:rStyle w:val="Hyperlink"/>
                <w:noProof/>
              </w:rPr>
              <w:t>Annex 3: Country and Territory-specific poliovirus data</w:t>
            </w:r>
            <w:r w:rsidR="00CE7D50">
              <w:rPr>
                <w:noProof/>
                <w:webHidden/>
              </w:rPr>
              <w:tab/>
            </w:r>
            <w:r w:rsidR="00CE7D50">
              <w:rPr>
                <w:noProof/>
                <w:webHidden/>
              </w:rPr>
              <w:fldChar w:fldCharType="begin"/>
            </w:r>
            <w:r w:rsidR="00CE7D50">
              <w:rPr>
                <w:noProof/>
                <w:webHidden/>
              </w:rPr>
              <w:instrText xml:space="preserve"> PAGEREF _Toc492292905 \h </w:instrText>
            </w:r>
            <w:r w:rsidR="00CE7D50">
              <w:rPr>
                <w:noProof/>
                <w:webHidden/>
              </w:rPr>
            </w:r>
            <w:r w:rsidR="00CE7D50">
              <w:rPr>
                <w:noProof/>
                <w:webHidden/>
              </w:rPr>
              <w:fldChar w:fldCharType="separate"/>
            </w:r>
            <w:r w:rsidR="00CE7D50">
              <w:rPr>
                <w:noProof/>
                <w:webHidden/>
              </w:rPr>
              <w:t>19</w:t>
            </w:r>
            <w:r w:rsidR="00CE7D50">
              <w:rPr>
                <w:noProof/>
                <w:webHidden/>
              </w:rPr>
              <w:fldChar w:fldCharType="end"/>
            </w:r>
          </w:hyperlink>
        </w:p>
        <w:p w:rsidR="00CE7D50" w:rsidRDefault="00D14B7C">
          <w:pPr>
            <w:pStyle w:val="TOC3"/>
            <w:rPr>
              <w:rFonts w:cstheme="minorBidi"/>
              <w:noProof/>
              <w:sz w:val="22"/>
              <w:szCs w:val="22"/>
            </w:rPr>
          </w:pPr>
          <w:hyperlink w:anchor="_Toc492292906" w:history="1">
            <w:r w:rsidR="00CE7D50" w:rsidRPr="00BC258D">
              <w:rPr>
                <w:rStyle w:val="Hyperlink"/>
                <w:noProof/>
              </w:rPr>
              <w:t>A.</w:t>
            </w:r>
            <w:r w:rsidR="00CE7D50">
              <w:rPr>
                <w:rFonts w:cstheme="minorBidi"/>
                <w:noProof/>
                <w:sz w:val="22"/>
                <w:szCs w:val="22"/>
              </w:rPr>
              <w:tab/>
            </w:r>
            <w:r w:rsidR="00CE7D50" w:rsidRPr="00BC258D">
              <w:rPr>
                <w:rStyle w:val="Hyperlink"/>
                <w:noProof/>
              </w:rPr>
              <w:t>To support the completion of the 1</w:t>
            </w:r>
            <w:r w:rsidR="00CE7D50" w:rsidRPr="00BC258D">
              <w:rPr>
                <w:rStyle w:val="Hyperlink"/>
                <w:noProof/>
                <w:vertAlign w:val="superscript"/>
              </w:rPr>
              <w:t>st</w:t>
            </w:r>
            <w:r w:rsidR="00CE7D50" w:rsidRPr="00BC258D">
              <w:rPr>
                <w:rStyle w:val="Hyperlink"/>
                <w:noProof/>
              </w:rPr>
              <w:t xml:space="preserve"> part of Phase I of GAPIII (WPV2/VDPV2)</w:t>
            </w:r>
            <w:r w:rsidR="00CE7D50">
              <w:rPr>
                <w:noProof/>
                <w:webHidden/>
              </w:rPr>
              <w:tab/>
            </w:r>
            <w:r w:rsidR="00CE7D50">
              <w:rPr>
                <w:noProof/>
                <w:webHidden/>
              </w:rPr>
              <w:fldChar w:fldCharType="begin"/>
            </w:r>
            <w:r w:rsidR="00CE7D50">
              <w:rPr>
                <w:noProof/>
                <w:webHidden/>
              </w:rPr>
              <w:instrText xml:space="preserve"> PAGEREF _Toc492292906 \h </w:instrText>
            </w:r>
            <w:r w:rsidR="00CE7D50">
              <w:rPr>
                <w:noProof/>
                <w:webHidden/>
              </w:rPr>
            </w:r>
            <w:r w:rsidR="00CE7D50">
              <w:rPr>
                <w:noProof/>
                <w:webHidden/>
              </w:rPr>
              <w:fldChar w:fldCharType="separate"/>
            </w:r>
            <w:r w:rsidR="00CE7D50">
              <w:rPr>
                <w:noProof/>
                <w:webHidden/>
              </w:rPr>
              <w:t>19</w:t>
            </w:r>
            <w:r w:rsidR="00CE7D50">
              <w:rPr>
                <w:noProof/>
                <w:webHidden/>
              </w:rPr>
              <w:fldChar w:fldCharType="end"/>
            </w:r>
          </w:hyperlink>
        </w:p>
        <w:p w:rsidR="00CE7D50" w:rsidRDefault="00D14B7C">
          <w:pPr>
            <w:pStyle w:val="TOC3"/>
            <w:rPr>
              <w:rFonts w:cstheme="minorBidi"/>
              <w:noProof/>
              <w:sz w:val="22"/>
              <w:szCs w:val="22"/>
            </w:rPr>
          </w:pPr>
          <w:hyperlink w:anchor="_Toc492292907" w:history="1">
            <w:r w:rsidR="00CE7D50" w:rsidRPr="00BC258D">
              <w:rPr>
                <w:rStyle w:val="Hyperlink"/>
                <w:noProof/>
              </w:rPr>
              <w:t>B.</w:t>
            </w:r>
            <w:r w:rsidR="00CE7D50">
              <w:rPr>
                <w:rFonts w:cstheme="minorBidi"/>
                <w:noProof/>
                <w:sz w:val="22"/>
                <w:szCs w:val="22"/>
              </w:rPr>
              <w:tab/>
            </w:r>
            <w:r w:rsidR="00CE7D50" w:rsidRPr="00BC258D">
              <w:rPr>
                <w:rStyle w:val="Hyperlink"/>
                <w:noProof/>
              </w:rPr>
              <w:t>To support the completion of the 2nd part of Phase I of GAPIII (OPV2/Sabin2)</w:t>
            </w:r>
            <w:r w:rsidR="00CE7D50">
              <w:rPr>
                <w:noProof/>
                <w:webHidden/>
              </w:rPr>
              <w:tab/>
            </w:r>
            <w:r w:rsidR="00CE7D50">
              <w:rPr>
                <w:noProof/>
                <w:webHidden/>
              </w:rPr>
              <w:fldChar w:fldCharType="begin"/>
            </w:r>
            <w:r w:rsidR="00CE7D50">
              <w:rPr>
                <w:noProof/>
                <w:webHidden/>
              </w:rPr>
              <w:instrText xml:space="preserve"> PAGEREF _Toc492292907 \h </w:instrText>
            </w:r>
            <w:r w:rsidR="00CE7D50">
              <w:rPr>
                <w:noProof/>
                <w:webHidden/>
              </w:rPr>
            </w:r>
            <w:r w:rsidR="00CE7D50">
              <w:rPr>
                <w:noProof/>
                <w:webHidden/>
              </w:rPr>
              <w:fldChar w:fldCharType="separate"/>
            </w:r>
            <w:r w:rsidR="00CE7D50">
              <w:rPr>
                <w:noProof/>
                <w:webHidden/>
              </w:rPr>
              <w:t>19</w:t>
            </w:r>
            <w:r w:rsidR="00CE7D50">
              <w:rPr>
                <w:noProof/>
                <w:webHidden/>
              </w:rPr>
              <w:fldChar w:fldCharType="end"/>
            </w:r>
          </w:hyperlink>
        </w:p>
        <w:p w:rsidR="00CE7D50" w:rsidRDefault="00D14B7C">
          <w:pPr>
            <w:pStyle w:val="TOC1"/>
            <w:tabs>
              <w:tab w:val="right" w:leader="dot" w:pos="9620"/>
            </w:tabs>
            <w:rPr>
              <w:rFonts w:cstheme="minorBidi"/>
              <w:noProof/>
              <w:sz w:val="22"/>
              <w:szCs w:val="22"/>
            </w:rPr>
          </w:pPr>
          <w:hyperlink w:anchor="_Toc492292908" w:history="1">
            <w:r w:rsidR="00CE7D50" w:rsidRPr="00BC258D">
              <w:rPr>
                <w:rStyle w:val="Hyperlink"/>
                <w:noProof/>
              </w:rPr>
              <w:t>Annex 4. References</w:t>
            </w:r>
            <w:r w:rsidR="00CE7D50">
              <w:rPr>
                <w:noProof/>
                <w:webHidden/>
              </w:rPr>
              <w:tab/>
            </w:r>
            <w:r w:rsidR="00CE7D50">
              <w:rPr>
                <w:noProof/>
                <w:webHidden/>
              </w:rPr>
              <w:fldChar w:fldCharType="begin"/>
            </w:r>
            <w:r w:rsidR="00CE7D50">
              <w:rPr>
                <w:noProof/>
                <w:webHidden/>
              </w:rPr>
              <w:instrText xml:space="preserve"> PAGEREF _Toc492292908 \h </w:instrText>
            </w:r>
            <w:r w:rsidR="00CE7D50">
              <w:rPr>
                <w:noProof/>
                <w:webHidden/>
              </w:rPr>
            </w:r>
            <w:r w:rsidR="00CE7D50">
              <w:rPr>
                <w:noProof/>
                <w:webHidden/>
              </w:rPr>
              <w:fldChar w:fldCharType="separate"/>
            </w:r>
            <w:r w:rsidR="00CE7D50">
              <w:rPr>
                <w:noProof/>
                <w:webHidden/>
              </w:rPr>
              <w:t>38</w:t>
            </w:r>
            <w:r w:rsidR="00CE7D50">
              <w:rPr>
                <w:noProof/>
                <w:webHidden/>
              </w:rPr>
              <w:fldChar w:fldCharType="end"/>
            </w:r>
          </w:hyperlink>
        </w:p>
        <w:p w:rsidR="00CE7D50" w:rsidRDefault="00CE7D50">
          <w:r>
            <w:rPr>
              <w:b/>
              <w:bCs/>
              <w:noProof/>
            </w:rPr>
            <w:fldChar w:fldCharType="end"/>
          </w:r>
        </w:p>
      </w:sdtContent>
    </w:sdt>
    <w:p w:rsidR="00CE7D50" w:rsidRDefault="00CE7D50">
      <w:pPr>
        <w:rPr>
          <w:sz w:val="24"/>
          <w:szCs w:val="24"/>
        </w:rPr>
      </w:pPr>
    </w:p>
    <w:p w:rsidR="00FA4D73" w:rsidRDefault="00FA4D73">
      <w:pPr>
        <w:rPr>
          <w:sz w:val="24"/>
          <w:szCs w:val="24"/>
        </w:rPr>
        <w:sectPr w:rsidR="00FA4D73" w:rsidSect="00602C97">
          <w:headerReference w:type="even" r:id="rId9"/>
          <w:headerReference w:type="default" r:id="rId10"/>
          <w:footerReference w:type="even" r:id="rId11"/>
          <w:footerReference w:type="default" r:id="rId12"/>
          <w:headerReference w:type="first" r:id="rId13"/>
          <w:footerReference w:type="first" r:id="rId14"/>
          <w:pgSz w:w="11906" w:h="16838" w:code="9"/>
          <w:pgMar w:top="1138" w:right="1138" w:bottom="1138" w:left="1138" w:header="504" w:footer="950" w:gutter="0"/>
          <w:cols w:space="720"/>
          <w:docGrid w:linePitch="326"/>
        </w:sectPr>
      </w:pPr>
    </w:p>
    <w:p w:rsidR="00CE6F67" w:rsidRPr="00132D1F" w:rsidRDefault="00132D1F" w:rsidP="006F42BD">
      <w:pPr>
        <w:pStyle w:val="Heading1"/>
      </w:pPr>
      <w:bookmarkStart w:id="1" w:name="_Toc492292882"/>
      <w:r>
        <w:lastRenderedPageBreak/>
        <w:t>Acknowledgments</w:t>
      </w:r>
      <w:bookmarkEnd w:id="1"/>
    </w:p>
    <w:p w:rsidR="006F42BD" w:rsidRDefault="006F42BD" w:rsidP="00CE6F67">
      <w:pPr>
        <w:rPr>
          <w:sz w:val="24"/>
          <w:szCs w:val="24"/>
        </w:rPr>
      </w:pPr>
    </w:p>
    <w:p w:rsidR="00CE6F67" w:rsidRPr="00132D1F" w:rsidRDefault="005A55D3" w:rsidP="00CE6F67">
      <w:pPr>
        <w:rPr>
          <w:sz w:val="24"/>
          <w:szCs w:val="24"/>
        </w:rPr>
      </w:pPr>
      <w:r w:rsidRPr="00132D1F">
        <w:rPr>
          <w:sz w:val="24"/>
          <w:szCs w:val="24"/>
        </w:rPr>
        <w:t xml:space="preserve">This guidance was made possible by the </w:t>
      </w:r>
      <w:r w:rsidR="000F7550">
        <w:rPr>
          <w:sz w:val="24"/>
          <w:szCs w:val="24"/>
        </w:rPr>
        <w:t>initial</w:t>
      </w:r>
      <w:r w:rsidRPr="00132D1F">
        <w:rPr>
          <w:sz w:val="24"/>
          <w:szCs w:val="24"/>
        </w:rPr>
        <w:t xml:space="preserve"> </w:t>
      </w:r>
      <w:r w:rsidR="00CE6F67" w:rsidRPr="00132D1F">
        <w:rPr>
          <w:sz w:val="24"/>
          <w:szCs w:val="24"/>
        </w:rPr>
        <w:t>contributions of the following, whose expertise is gratefully acknowledged:</w:t>
      </w:r>
    </w:p>
    <w:p w:rsidR="00CE6F67" w:rsidRPr="00132D1F" w:rsidRDefault="00CE6F67" w:rsidP="00CE6F67">
      <w:pPr>
        <w:rPr>
          <w:sz w:val="24"/>
          <w:szCs w:val="24"/>
        </w:rPr>
      </w:pPr>
      <w:r w:rsidRPr="00132D1F">
        <w:rPr>
          <w:sz w:val="24"/>
          <w:szCs w:val="24"/>
        </w:rPr>
        <w:t xml:space="preserve">Terry </w:t>
      </w:r>
      <w:proofErr w:type="spellStart"/>
      <w:r w:rsidRPr="00132D1F">
        <w:rPr>
          <w:sz w:val="24"/>
          <w:szCs w:val="24"/>
        </w:rPr>
        <w:t>Besselaar</w:t>
      </w:r>
      <w:proofErr w:type="spellEnd"/>
    </w:p>
    <w:p w:rsidR="00CE6F67" w:rsidRPr="00132D1F" w:rsidRDefault="00CE6F67" w:rsidP="00CE6F67">
      <w:pPr>
        <w:rPr>
          <w:sz w:val="24"/>
          <w:szCs w:val="24"/>
        </w:rPr>
      </w:pPr>
      <w:r w:rsidRPr="00132D1F">
        <w:rPr>
          <w:sz w:val="24"/>
          <w:szCs w:val="24"/>
        </w:rPr>
        <w:t xml:space="preserve">Liliane </w:t>
      </w:r>
      <w:proofErr w:type="spellStart"/>
      <w:r w:rsidRPr="00132D1F">
        <w:rPr>
          <w:sz w:val="24"/>
          <w:szCs w:val="24"/>
        </w:rPr>
        <w:t>Boualam</w:t>
      </w:r>
      <w:proofErr w:type="spellEnd"/>
    </w:p>
    <w:p w:rsidR="00CE6F67" w:rsidRPr="00132D1F" w:rsidRDefault="00CE6F67" w:rsidP="00CE6F67">
      <w:pPr>
        <w:rPr>
          <w:sz w:val="24"/>
          <w:szCs w:val="24"/>
        </w:rPr>
      </w:pPr>
      <w:r w:rsidRPr="00132D1F">
        <w:rPr>
          <w:sz w:val="24"/>
          <w:szCs w:val="24"/>
        </w:rPr>
        <w:t xml:space="preserve">Philip Comer </w:t>
      </w:r>
    </w:p>
    <w:p w:rsidR="00CE6F67" w:rsidRPr="00132D1F" w:rsidRDefault="00CE6F67" w:rsidP="00CE6F67">
      <w:pPr>
        <w:rPr>
          <w:sz w:val="24"/>
          <w:szCs w:val="24"/>
        </w:rPr>
      </w:pPr>
      <w:proofErr w:type="spellStart"/>
      <w:r w:rsidRPr="00132D1F">
        <w:rPr>
          <w:sz w:val="24"/>
          <w:szCs w:val="24"/>
        </w:rPr>
        <w:t>Ousmane</w:t>
      </w:r>
      <w:proofErr w:type="spellEnd"/>
      <w:r w:rsidRPr="00132D1F">
        <w:rPr>
          <w:sz w:val="24"/>
          <w:szCs w:val="24"/>
        </w:rPr>
        <w:t xml:space="preserve"> </w:t>
      </w:r>
      <w:proofErr w:type="spellStart"/>
      <w:r w:rsidRPr="00132D1F">
        <w:rPr>
          <w:sz w:val="24"/>
          <w:szCs w:val="24"/>
        </w:rPr>
        <w:t>Diop</w:t>
      </w:r>
      <w:proofErr w:type="spellEnd"/>
    </w:p>
    <w:p w:rsidR="00CE6F67" w:rsidRPr="00132D1F" w:rsidRDefault="00CE6F67" w:rsidP="00CE6F67">
      <w:pPr>
        <w:rPr>
          <w:sz w:val="24"/>
          <w:szCs w:val="24"/>
        </w:rPr>
      </w:pPr>
      <w:r w:rsidRPr="00132D1F">
        <w:rPr>
          <w:sz w:val="24"/>
          <w:szCs w:val="24"/>
        </w:rPr>
        <w:t>Miguel Mulders</w:t>
      </w:r>
    </w:p>
    <w:p w:rsidR="00CE6F67" w:rsidRPr="00132D1F" w:rsidRDefault="00CE6F67" w:rsidP="00CE6F67">
      <w:pPr>
        <w:rPr>
          <w:sz w:val="24"/>
          <w:szCs w:val="24"/>
        </w:rPr>
      </w:pPr>
      <w:r w:rsidRPr="00132D1F">
        <w:rPr>
          <w:sz w:val="24"/>
          <w:szCs w:val="24"/>
        </w:rPr>
        <w:t xml:space="preserve">Nicoletta </w:t>
      </w:r>
      <w:proofErr w:type="spellStart"/>
      <w:r w:rsidRPr="00132D1F">
        <w:rPr>
          <w:sz w:val="24"/>
          <w:szCs w:val="24"/>
        </w:rPr>
        <w:t>Previsani</w:t>
      </w:r>
      <w:proofErr w:type="spellEnd"/>
    </w:p>
    <w:p w:rsidR="00CE6F67" w:rsidRPr="00132D1F" w:rsidRDefault="00CE6F67" w:rsidP="00CE6F67">
      <w:pPr>
        <w:rPr>
          <w:sz w:val="24"/>
          <w:szCs w:val="24"/>
        </w:rPr>
      </w:pPr>
      <w:proofErr w:type="spellStart"/>
      <w:r w:rsidRPr="00132D1F">
        <w:rPr>
          <w:sz w:val="24"/>
          <w:szCs w:val="24"/>
        </w:rPr>
        <w:t>Nalini</w:t>
      </w:r>
      <w:proofErr w:type="spellEnd"/>
      <w:r w:rsidRPr="00132D1F">
        <w:rPr>
          <w:sz w:val="24"/>
          <w:szCs w:val="24"/>
        </w:rPr>
        <w:t xml:space="preserve"> </w:t>
      </w:r>
      <w:proofErr w:type="spellStart"/>
      <w:r w:rsidRPr="00132D1F">
        <w:rPr>
          <w:sz w:val="24"/>
          <w:szCs w:val="24"/>
        </w:rPr>
        <w:t>Ramamurty</w:t>
      </w:r>
      <w:proofErr w:type="spellEnd"/>
    </w:p>
    <w:p w:rsidR="00CE6F67" w:rsidRPr="00132D1F" w:rsidRDefault="00CE6F67" w:rsidP="00CE6F67">
      <w:pPr>
        <w:rPr>
          <w:sz w:val="24"/>
          <w:szCs w:val="24"/>
        </w:rPr>
      </w:pPr>
      <w:r w:rsidRPr="00132D1F">
        <w:rPr>
          <w:sz w:val="24"/>
          <w:szCs w:val="24"/>
        </w:rPr>
        <w:t xml:space="preserve">Fatima </w:t>
      </w:r>
      <w:proofErr w:type="spellStart"/>
      <w:r w:rsidRPr="00132D1F">
        <w:rPr>
          <w:sz w:val="24"/>
          <w:szCs w:val="24"/>
        </w:rPr>
        <w:t>Serhan</w:t>
      </w:r>
      <w:proofErr w:type="spellEnd"/>
    </w:p>
    <w:p w:rsidR="00CE6F67" w:rsidRPr="00132D1F" w:rsidRDefault="00CE6F67" w:rsidP="00CE6F67">
      <w:pPr>
        <w:rPr>
          <w:sz w:val="24"/>
          <w:szCs w:val="24"/>
        </w:rPr>
      </w:pPr>
      <w:r w:rsidRPr="00132D1F">
        <w:rPr>
          <w:sz w:val="24"/>
          <w:szCs w:val="24"/>
        </w:rPr>
        <w:t>Harpal Singh</w:t>
      </w:r>
    </w:p>
    <w:p w:rsidR="00CE6F67" w:rsidRPr="00132D1F" w:rsidRDefault="00CE6F67" w:rsidP="00CE6F67">
      <w:pPr>
        <w:rPr>
          <w:sz w:val="24"/>
          <w:szCs w:val="24"/>
        </w:rPr>
      </w:pPr>
    </w:p>
    <w:p w:rsidR="00CE6F67" w:rsidRDefault="00CE6F67" w:rsidP="00CE6F67">
      <w:pPr>
        <w:rPr>
          <w:sz w:val="24"/>
          <w:szCs w:val="24"/>
        </w:rPr>
      </w:pPr>
      <w:r w:rsidRPr="00132D1F">
        <w:rPr>
          <w:sz w:val="24"/>
          <w:szCs w:val="24"/>
        </w:rPr>
        <w:t xml:space="preserve">The contributions of the following </w:t>
      </w:r>
      <w:r w:rsidR="000F7550">
        <w:rPr>
          <w:sz w:val="24"/>
          <w:szCs w:val="24"/>
        </w:rPr>
        <w:t xml:space="preserve">final </w:t>
      </w:r>
      <w:r w:rsidRPr="00132D1F">
        <w:rPr>
          <w:sz w:val="24"/>
          <w:szCs w:val="24"/>
        </w:rPr>
        <w:t>reviewers</w:t>
      </w:r>
      <w:r w:rsidR="005A55D3" w:rsidRPr="00132D1F">
        <w:rPr>
          <w:sz w:val="24"/>
          <w:szCs w:val="24"/>
        </w:rPr>
        <w:t xml:space="preserve">/writers </w:t>
      </w:r>
      <w:r w:rsidRPr="00132D1F">
        <w:rPr>
          <w:sz w:val="24"/>
          <w:szCs w:val="24"/>
        </w:rPr>
        <w:t>are recognized with appreciation:</w:t>
      </w:r>
    </w:p>
    <w:p w:rsidR="00925A20" w:rsidRDefault="00925A20" w:rsidP="00CE6F67">
      <w:pPr>
        <w:rPr>
          <w:sz w:val="24"/>
          <w:szCs w:val="24"/>
        </w:rPr>
      </w:pPr>
      <w:r>
        <w:rPr>
          <w:sz w:val="24"/>
          <w:szCs w:val="24"/>
        </w:rPr>
        <w:t>Kevin Brown</w:t>
      </w:r>
    </w:p>
    <w:p w:rsidR="00925A20" w:rsidRDefault="00925A20" w:rsidP="00CE6F67">
      <w:pPr>
        <w:rPr>
          <w:sz w:val="24"/>
          <w:szCs w:val="24"/>
        </w:rPr>
      </w:pPr>
      <w:r>
        <w:rPr>
          <w:sz w:val="24"/>
          <w:szCs w:val="24"/>
        </w:rPr>
        <w:t xml:space="preserve">Walter </w:t>
      </w:r>
      <w:proofErr w:type="spellStart"/>
      <w:r>
        <w:rPr>
          <w:sz w:val="24"/>
          <w:szCs w:val="24"/>
        </w:rPr>
        <w:t>Dowdle</w:t>
      </w:r>
      <w:proofErr w:type="spellEnd"/>
    </w:p>
    <w:p w:rsidR="00925A20" w:rsidRDefault="00925A20" w:rsidP="00CE6F67">
      <w:pPr>
        <w:rPr>
          <w:sz w:val="24"/>
          <w:szCs w:val="24"/>
        </w:rPr>
      </w:pPr>
      <w:r>
        <w:rPr>
          <w:sz w:val="24"/>
          <w:szCs w:val="24"/>
        </w:rPr>
        <w:t xml:space="preserve">Anne von </w:t>
      </w:r>
      <w:proofErr w:type="spellStart"/>
      <w:r>
        <w:rPr>
          <w:sz w:val="24"/>
          <w:szCs w:val="24"/>
        </w:rPr>
        <w:t>Gottberg</w:t>
      </w:r>
      <w:proofErr w:type="spellEnd"/>
    </w:p>
    <w:p w:rsidR="00925A20" w:rsidRDefault="00925A20" w:rsidP="00CE6F67">
      <w:pPr>
        <w:rPr>
          <w:sz w:val="24"/>
          <w:szCs w:val="24"/>
        </w:rPr>
      </w:pPr>
      <w:r>
        <w:rPr>
          <w:sz w:val="24"/>
          <w:szCs w:val="24"/>
        </w:rPr>
        <w:t>Carl Kirkwood</w:t>
      </w:r>
    </w:p>
    <w:p w:rsidR="00925A20" w:rsidRDefault="00925A20" w:rsidP="00CE6F67">
      <w:pPr>
        <w:rPr>
          <w:sz w:val="24"/>
          <w:szCs w:val="24"/>
        </w:rPr>
      </w:pPr>
      <w:r>
        <w:rPr>
          <w:sz w:val="24"/>
          <w:szCs w:val="24"/>
        </w:rPr>
        <w:t xml:space="preserve">Steve </w:t>
      </w:r>
      <w:proofErr w:type="spellStart"/>
      <w:r>
        <w:rPr>
          <w:sz w:val="24"/>
          <w:szCs w:val="24"/>
        </w:rPr>
        <w:t>Oberste</w:t>
      </w:r>
      <w:proofErr w:type="spellEnd"/>
    </w:p>
    <w:p w:rsidR="00925A20" w:rsidRPr="00132D1F" w:rsidRDefault="00925A20" w:rsidP="00CE6F67">
      <w:pPr>
        <w:rPr>
          <w:sz w:val="24"/>
          <w:szCs w:val="24"/>
        </w:rPr>
      </w:pPr>
      <w:r>
        <w:rPr>
          <w:sz w:val="24"/>
          <w:szCs w:val="24"/>
        </w:rPr>
        <w:t>Bruce Thorley</w:t>
      </w:r>
    </w:p>
    <w:p w:rsidR="00CE6F67" w:rsidRDefault="00CE6F67" w:rsidP="00CE6F67"/>
    <w:p w:rsidR="00CE6F67" w:rsidRDefault="00413975" w:rsidP="00CE6F67">
      <w:pPr>
        <w:jc w:val="both"/>
        <w:rPr>
          <w:b/>
          <w:sz w:val="28"/>
          <w:szCs w:val="28"/>
        </w:rPr>
      </w:pPr>
      <w:r>
        <w:rPr>
          <w:b/>
          <w:sz w:val="28"/>
          <w:szCs w:val="28"/>
        </w:rPr>
        <w:br w:type="page"/>
      </w:r>
    </w:p>
    <w:p w:rsidR="00CE6F67" w:rsidRDefault="00CE6F67" w:rsidP="006F42BD">
      <w:pPr>
        <w:pStyle w:val="Heading1"/>
      </w:pPr>
      <w:bookmarkStart w:id="2" w:name="_Toc492292883"/>
      <w:r>
        <w:lastRenderedPageBreak/>
        <w:t>Abbreviations and Acronyms</w:t>
      </w:r>
      <w:bookmarkEnd w:id="2"/>
    </w:p>
    <w:p w:rsidR="00CE6F67" w:rsidRPr="006F42BD" w:rsidRDefault="00CE6F67" w:rsidP="00CE6F67">
      <w:pPr>
        <w:jc w:val="both"/>
        <w:rPr>
          <w:sz w:val="24"/>
          <w:szCs w:val="28"/>
        </w:rPr>
      </w:pPr>
    </w:p>
    <w:p w:rsidR="00CE6F67" w:rsidRPr="006F42BD" w:rsidRDefault="00CE6F67" w:rsidP="00CE6F67">
      <w:pPr>
        <w:jc w:val="both"/>
        <w:rPr>
          <w:sz w:val="24"/>
          <w:szCs w:val="24"/>
        </w:rPr>
      </w:pPr>
      <w:r w:rsidRPr="006F42BD">
        <w:rPr>
          <w:sz w:val="24"/>
          <w:szCs w:val="24"/>
        </w:rPr>
        <w:t xml:space="preserve">AFP </w:t>
      </w:r>
      <w:r w:rsidRPr="006F42BD">
        <w:rPr>
          <w:sz w:val="24"/>
          <w:szCs w:val="24"/>
        </w:rPr>
        <w:tab/>
      </w:r>
      <w:r w:rsidRPr="006F42BD">
        <w:rPr>
          <w:sz w:val="24"/>
          <w:szCs w:val="24"/>
        </w:rPr>
        <w:tab/>
        <w:t>Acute flaccid paralysis</w:t>
      </w:r>
    </w:p>
    <w:p w:rsidR="00CE6F67" w:rsidRPr="006F42BD" w:rsidRDefault="00CE6F67" w:rsidP="00CE6F67">
      <w:pPr>
        <w:jc w:val="both"/>
        <w:rPr>
          <w:sz w:val="24"/>
          <w:szCs w:val="24"/>
        </w:rPr>
      </w:pPr>
      <w:r w:rsidRPr="006F42BD">
        <w:rPr>
          <w:sz w:val="24"/>
          <w:szCs w:val="24"/>
        </w:rPr>
        <w:t>AME</w:t>
      </w:r>
      <w:r w:rsidRPr="006F42BD">
        <w:rPr>
          <w:sz w:val="24"/>
          <w:szCs w:val="24"/>
        </w:rPr>
        <w:tab/>
      </w:r>
      <w:r w:rsidRPr="006F42BD">
        <w:rPr>
          <w:sz w:val="24"/>
          <w:szCs w:val="24"/>
        </w:rPr>
        <w:tab/>
        <w:t>Acute meningoencephalitis</w:t>
      </w:r>
    </w:p>
    <w:p w:rsidR="00CE6F67" w:rsidRPr="006F42BD" w:rsidRDefault="00CE6F67" w:rsidP="00CE6F67">
      <w:pPr>
        <w:jc w:val="both"/>
        <w:rPr>
          <w:sz w:val="24"/>
          <w:szCs w:val="24"/>
        </w:rPr>
      </w:pPr>
      <w:r w:rsidRPr="006F42BD">
        <w:rPr>
          <w:sz w:val="24"/>
          <w:szCs w:val="24"/>
        </w:rPr>
        <w:t>CC</w:t>
      </w:r>
      <w:r w:rsidRPr="006F42BD">
        <w:rPr>
          <w:sz w:val="24"/>
          <w:szCs w:val="24"/>
        </w:rPr>
        <w:tab/>
      </w:r>
      <w:r w:rsidRPr="006F42BD">
        <w:rPr>
          <w:sz w:val="24"/>
          <w:szCs w:val="24"/>
        </w:rPr>
        <w:tab/>
        <w:t>Certificate of containment</w:t>
      </w:r>
    </w:p>
    <w:p w:rsidR="00CE6F67" w:rsidRPr="006F42BD" w:rsidRDefault="00CE6F67" w:rsidP="00CE6F67">
      <w:pPr>
        <w:jc w:val="both"/>
        <w:rPr>
          <w:sz w:val="24"/>
          <w:szCs w:val="24"/>
        </w:rPr>
      </w:pPr>
      <w:r w:rsidRPr="006F42BD">
        <w:rPr>
          <w:sz w:val="24"/>
          <w:szCs w:val="24"/>
        </w:rPr>
        <w:t>CCS</w:t>
      </w:r>
      <w:r w:rsidRPr="006F42BD">
        <w:rPr>
          <w:sz w:val="24"/>
          <w:szCs w:val="24"/>
        </w:rPr>
        <w:tab/>
      </w:r>
      <w:r w:rsidRPr="006F42BD">
        <w:rPr>
          <w:sz w:val="24"/>
          <w:szCs w:val="24"/>
        </w:rPr>
        <w:tab/>
        <w:t>Containment certification scheme</w:t>
      </w:r>
    </w:p>
    <w:p w:rsidR="00920D7E" w:rsidRPr="006F42BD" w:rsidRDefault="00920D7E" w:rsidP="00920D7E">
      <w:pPr>
        <w:jc w:val="both"/>
        <w:rPr>
          <w:sz w:val="24"/>
          <w:szCs w:val="24"/>
        </w:rPr>
      </w:pPr>
      <w:r w:rsidRPr="006F42BD">
        <w:rPr>
          <w:sz w:val="24"/>
          <w:szCs w:val="24"/>
        </w:rPr>
        <w:t>CCID50</w:t>
      </w:r>
      <w:r w:rsidRPr="006F42BD">
        <w:rPr>
          <w:sz w:val="24"/>
          <w:szCs w:val="24"/>
        </w:rPr>
        <w:tab/>
      </w:r>
      <w:r w:rsidRPr="006F42BD">
        <w:rPr>
          <w:sz w:val="24"/>
          <w:szCs w:val="24"/>
        </w:rPr>
        <w:tab/>
        <w:t>Cell culture infectious dose, 50% endpoint</w:t>
      </w:r>
    </w:p>
    <w:p w:rsidR="00CE6F67" w:rsidRPr="006F42BD" w:rsidRDefault="00CE6F67" w:rsidP="00CE6F67">
      <w:pPr>
        <w:jc w:val="both"/>
        <w:rPr>
          <w:sz w:val="24"/>
          <w:szCs w:val="24"/>
        </w:rPr>
      </w:pPr>
      <w:proofErr w:type="gramStart"/>
      <w:r w:rsidRPr="006F42BD">
        <w:rPr>
          <w:sz w:val="24"/>
          <w:szCs w:val="24"/>
        </w:rPr>
        <w:t>cDNA</w:t>
      </w:r>
      <w:proofErr w:type="gramEnd"/>
      <w:r w:rsidRPr="006F42BD">
        <w:rPr>
          <w:sz w:val="24"/>
          <w:szCs w:val="24"/>
        </w:rPr>
        <w:tab/>
      </w:r>
      <w:r w:rsidRPr="006F42BD">
        <w:rPr>
          <w:sz w:val="24"/>
          <w:szCs w:val="24"/>
        </w:rPr>
        <w:tab/>
        <w:t>complementary deoxyribonucleic acid</w:t>
      </w:r>
    </w:p>
    <w:p w:rsidR="00CE6F67" w:rsidRPr="006F42BD" w:rsidRDefault="00CE6F67" w:rsidP="00CE6F67">
      <w:pPr>
        <w:jc w:val="both"/>
        <w:rPr>
          <w:sz w:val="24"/>
          <w:szCs w:val="24"/>
        </w:rPr>
      </w:pPr>
      <w:r w:rsidRPr="006F42BD">
        <w:rPr>
          <w:sz w:val="24"/>
          <w:szCs w:val="24"/>
        </w:rPr>
        <w:t>CP</w:t>
      </w:r>
      <w:r w:rsidRPr="006F42BD">
        <w:rPr>
          <w:sz w:val="24"/>
          <w:szCs w:val="24"/>
        </w:rPr>
        <w:tab/>
      </w:r>
      <w:r w:rsidRPr="006F42BD">
        <w:rPr>
          <w:sz w:val="24"/>
          <w:szCs w:val="24"/>
        </w:rPr>
        <w:tab/>
        <w:t>Certificate of participation in the containment certification process</w:t>
      </w:r>
    </w:p>
    <w:p w:rsidR="00CE6F67" w:rsidRPr="006F42BD" w:rsidRDefault="00CE6F67" w:rsidP="00CE6F67">
      <w:pPr>
        <w:jc w:val="both"/>
        <w:rPr>
          <w:sz w:val="24"/>
          <w:szCs w:val="24"/>
        </w:rPr>
      </w:pPr>
      <w:r w:rsidRPr="006F42BD">
        <w:rPr>
          <w:sz w:val="24"/>
          <w:szCs w:val="24"/>
        </w:rPr>
        <w:t>CPE</w:t>
      </w:r>
      <w:r w:rsidRPr="006F42BD">
        <w:rPr>
          <w:sz w:val="24"/>
          <w:szCs w:val="24"/>
        </w:rPr>
        <w:tab/>
      </w:r>
      <w:r w:rsidRPr="006F42BD">
        <w:rPr>
          <w:sz w:val="24"/>
          <w:szCs w:val="24"/>
        </w:rPr>
        <w:tab/>
        <w:t>Cytopathic effect</w:t>
      </w:r>
    </w:p>
    <w:p w:rsidR="00CE6F67" w:rsidRPr="006F42BD" w:rsidRDefault="00CE6F67" w:rsidP="00CE6F67">
      <w:pPr>
        <w:jc w:val="both"/>
        <w:rPr>
          <w:sz w:val="24"/>
          <w:szCs w:val="24"/>
        </w:rPr>
      </w:pPr>
      <w:r w:rsidRPr="006F42BD">
        <w:rPr>
          <w:sz w:val="24"/>
          <w:szCs w:val="24"/>
        </w:rPr>
        <w:t>CSF</w:t>
      </w:r>
      <w:r w:rsidRPr="006F42BD">
        <w:rPr>
          <w:sz w:val="24"/>
          <w:szCs w:val="24"/>
        </w:rPr>
        <w:tab/>
      </w:r>
      <w:r w:rsidRPr="006F42BD">
        <w:rPr>
          <w:sz w:val="24"/>
          <w:szCs w:val="24"/>
        </w:rPr>
        <w:tab/>
        <w:t>Cerebrospinal fluid</w:t>
      </w:r>
    </w:p>
    <w:p w:rsidR="00CE6F67" w:rsidRPr="006F42BD" w:rsidRDefault="00CE6F67" w:rsidP="00CE6F67">
      <w:pPr>
        <w:jc w:val="both"/>
        <w:rPr>
          <w:sz w:val="24"/>
          <w:szCs w:val="24"/>
        </w:rPr>
      </w:pPr>
      <w:r w:rsidRPr="006F42BD">
        <w:rPr>
          <w:sz w:val="24"/>
          <w:szCs w:val="24"/>
        </w:rPr>
        <w:t>GAPIII</w:t>
      </w:r>
      <w:r w:rsidRPr="006F42BD">
        <w:rPr>
          <w:sz w:val="24"/>
          <w:szCs w:val="24"/>
        </w:rPr>
        <w:tab/>
      </w:r>
      <w:r w:rsidRPr="006F42BD">
        <w:rPr>
          <w:sz w:val="24"/>
          <w:szCs w:val="24"/>
        </w:rPr>
        <w:tab/>
        <w:t>Global Action Plan III</w:t>
      </w:r>
    </w:p>
    <w:p w:rsidR="00CE6F67" w:rsidRPr="006F42BD" w:rsidRDefault="00CE6F67" w:rsidP="00CE6F67">
      <w:pPr>
        <w:jc w:val="both"/>
        <w:rPr>
          <w:sz w:val="24"/>
          <w:szCs w:val="24"/>
        </w:rPr>
      </w:pPr>
      <w:r w:rsidRPr="006F42BD">
        <w:rPr>
          <w:sz w:val="24"/>
          <w:szCs w:val="24"/>
        </w:rPr>
        <w:t>ICC</w:t>
      </w:r>
      <w:r w:rsidRPr="006F42BD">
        <w:rPr>
          <w:sz w:val="24"/>
          <w:szCs w:val="24"/>
        </w:rPr>
        <w:tab/>
      </w:r>
      <w:r w:rsidRPr="006F42BD">
        <w:rPr>
          <w:sz w:val="24"/>
          <w:szCs w:val="24"/>
        </w:rPr>
        <w:tab/>
        <w:t xml:space="preserve">Interim certificate of containment </w:t>
      </w:r>
    </w:p>
    <w:p w:rsidR="00CE6F67" w:rsidRPr="006F42BD" w:rsidRDefault="00CE6F67" w:rsidP="00CE6F67">
      <w:pPr>
        <w:jc w:val="both"/>
        <w:rPr>
          <w:sz w:val="24"/>
          <w:szCs w:val="24"/>
        </w:rPr>
      </w:pPr>
      <w:r w:rsidRPr="006F42BD">
        <w:rPr>
          <w:sz w:val="24"/>
          <w:szCs w:val="24"/>
        </w:rPr>
        <w:t xml:space="preserve">IPV </w:t>
      </w:r>
      <w:r w:rsidRPr="006F42BD">
        <w:rPr>
          <w:sz w:val="24"/>
          <w:szCs w:val="24"/>
        </w:rPr>
        <w:tab/>
      </w:r>
      <w:r w:rsidRPr="006F42BD">
        <w:rPr>
          <w:sz w:val="24"/>
          <w:szCs w:val="24"/>
        </w:rPr>
        <w:tab/>
        <w:t xml:space="preserve">Inactivated polio vaccine </w:t>
      </w:r>
    </w:p>
    <w:p w:rsidR="00CE6F67" w:rsidRPr="006F42BD" w:rsidRDefault="00CE6F67" w:rsidP="00CE6F67">
      <w:pPr>
        <w:jc w:val="both"/>
        <w:rPr>
          <w:sz w:val="24"/>
          <w:szCs w:val="24"/>
        </w:rPr>
      </w:pPr>
      <w:r w:rsidRPr="006F42BD">
        <w:rPr>
          <w:sz w:val="24"/>
          <w:szCs w:val="24"/>
        </w:rPr>
        <w:t>NAC</w:t>
      </w:r>
      <w:r w:rsidRPr="006F42BD">
        <w:rPr>
          <w:sz w:val="24"/>
          <w:szCs w:val="24"/>
        </w:rPr>
        <w:tab/>
      </w:r>
      <w:r w:rsidRPr="006F42BD">
        <w:rPr>
          <w:sz w:val="24"/>
          <w:szCs w:val="24"/>
        </w:rPr>
        <w:tab/>
        <w:t xml:space="preserve">National authority for containment </w:t>
      </w:r>
    </w:p>
    <w:p w:rsidR="00CE6F67" w:rsidRPr="006F42BD" w:rsidRDefault="00CE6F67" w:rsidP="00CE6F67">
      <w:pPr>
        <w:jc w:val="both"/>
        <w:rPr>
          <w:sz w:val="24"/>
          <w:szCs w:val="24"/>
        </w:rPr>
      </w:pPr>
      <w:r w:rsidRPr="006F42BD">
        <w:rPr>
          <w:sz w:val="24"/>
          <w:szCs w:val="24"/>
        </w:rPr>
        <w:t>NCC</w:t>
      </w:r>
      <w:r w:rsidRPr="006F42BD">
        <w:rPr>
          <w:sz w:val="24"/>
          <w:szCs w:val="24"/>
        </w:rPr>
        <w:tab/>
      </w:r>
      <w:r w:rsidRPr="006F42BD">
        <w:rPr>
          <w:sz w:val="24"/>
          <w:szCs w:val="24"/>
        </w:rPr>
        <w:tab/>
        <w:t>National committee for the certification of the eradication of poliomyelitis</w:t>
      </w:r>
    </w:p>
    <w:p w:rsidR="00CE6F67" w:rsidRPr="006F42BD" w:rsidRDefault="00CE6F67" w:rsidP="00CE6F67">
      <w:pPr>
        <w:jc w:val="both"/>
        <w:rPr>
          <w:sz w:val="24"/>
          <w:szCs w:val="24"/>
        </w:rPr>
      </w:pPr>
      <w:r w:rsidRPr="006F42BD">
        <w:rPr>
          <w:sz w:val="24"/>
          <w:szCs w:val="24"/>
        </w:rPr>
        <w:t>NPCC</w:t>
      </w:r>
      <w:r w:rsidRPr="006F42BD">
        <w:rPr>
          <w:sz w:val="24"/>
          <w:szCs w:val="24"/>
        </w:rPr>
        <w:tab/>
      </w:r>
      <w:r w:rsidRPr="006F42BD">
        <w:rPr>
          <w:sz w:val="24"/>
          <w:szCs w:val="24"/>
        </w:rPr>
        <w:tab/>
        <w:t>National poliovirus containment coordinator</w:t>
      </w:r>
    </w:p>
    <w:p w:rsidR="00CE6F67" w:rsidRPr="006F42BD" w:rsidRDefault="00CE6F67" w:rsidP="00CE6F67">
      <w:pPr>
        <w:jc w:val="both"/>
        <w:rPr>
          <w:sz w:val="24"/>
          <w:szCs w:val="24"/>
        </w:rPr>
      </w:pPr>
      <w:r w:rsidRPr="006F42BD">
        <w:rPr>
          <w:sz w:val="24"/>
          <w:szCs w:val="24"/>
        </w:rPr>
        <w:t xml:space="preserve">OPV </w:t>
      </w:r>
      <w:r w:rsidRPr="006F42BD">
        <w:rPr>
          <w:sz w:val="24"/>
          <w:szCs w:val="24"/>
        </w:rPr>
        <w:tab/>
      </w:r>
      <w:r w:rsidRPr="006F42BD">
        <w:rPr>
          <w:sz w:val="24"/>
          <w:szCs w:val="24"/>
        </w:rPr>
        <w:tab/>
        <w:t xml:space="preserve">Oral polio vaccine </w:t>
      </w:r>
    </w:p>
    <w:p w:rsidR="00CE6F67" w:rsidRPr="006F42BD" w:rsidRDefault="00CE6F67" w:rsidP="00CE6F67">
      <w:pPr>
        <w:tabs>
          <w:tab w:val="left" w:pos="284"/>
        </w:tabs>
        <w:jc w:val="both"/>
        <w:rPr>
          <w:sz w:val="24"/>
          <w:szCs w:val="24"/>
        </w:rPr>
      </w:pPr>
      <w:r w:rsidRPr="006F42BD">
        <w:rPr>
          <w:sz w:val="24"/>
          <w:szCs w:val="24"/>
        </w:rPr>
        <w:t>OPV-like</w:t>
      </w:r>
      <w:r w:rsidRPr="006F42BD">
        <w:rPr>
          <w:sz w:val="24"/>
          <w:szCs w:val="24"/>
        </w:rPr>
        <w:tab/>
      </w:r>
      <w:r w:rsidR="008A608F" w:rsidRPr="006F42BD">
        <w:rPr>
          <w:sz w:val="24"/>
          <w:szCs w:val="24"/>
        </w:rPr>
        <w:t>Oral polio vaccine-like</w:t>
      </w:r>
    </w:p>
    <w:p w:rsidR="00CE6F67" w:rsidRPr="006F42BD" w:rsidRDefault="00CE6F67" w:rsidP="00CE6F67">
      <w:pPr>
        <w:jc w:val="both"/>
        <w:rPr>
          <w:sz w:val="24"/>
          <w:szCs w:val="24"/>
        </w:rPr>
      </w:pPr>
      <w:r w:rsidRPr="006F42BD">
        <w:rPr>
          <w:sz w:val="24"/>
          <w:szCs w:val="24"/>
        </w:rPr>
        <w:t xml:space="preserve">OPV2 </w:t>
      </w:r>
      <w:r w:rsidRPr="006F42BD">
        <w:rPr>
          <w:sz w:val="24"/>
          <w:szCs w:val="24"/>
        </w:rPr>
        <w:tab/>
      </w:r>
      <w:r w:rsidRPr="006F42BD">
        <w:rPr>
          <w:sz w:val="24"/>
          <w:szCs w:val="24"/>
        </w:rPr>
        <w:tab/>
        <w:t xml:space="preserve">Oral polio vaccine type 2 </w:t>
      </w:r>
    </w:p>
    <w:p w:rsidR="00CE6F67" w:rsidRPr="006F42BD" w:rsidRDefault="00CE6F67" w:rsidP="00CE6F67">
      <w:pPr>
        <w:tabs>
          <w:tab w:val="left" w:pos="284"/>
        </w:tabs>
        <w:jc w:val="both"/>
        <w:rPr>
          <w:sz w:val="24"/>
          <w:szCs w:val="24"/>
        </w:rPr>
      </w:pPr>
      <w:proofErr w:type="spellStart"/>
      <w:proofErr w:type="gramStart"/>
      <w:r w:rsidRPr="006F42BD">
        <w:rPr>
          <w:sz w:val="24"/>
          <w:szCs w:val="24"/>
        </w:rPr>
        <w:t>bOPV</w:t>
      </w:r>
      <w:proofErr w:type="spellEnd"/>
      <w:proofErr w:type="gramEnd"/>
      <w:r w:rsidRPr="006F42BD">
        <w:rPr>
          <w:sz w:val="24"/>
          <w:szCs w:val="24"/>
        </w:rPr>
        <w:tab/>
      </w:r>
      <w:r w:rsidRPr="006F42BD">
        <w:rPr>
          <w:sz w:val="24"/>
          <w:szCs w:val="24"/>
        </w:rPr>
        <w:tab/>
        <w:t>Bivalent oral polio vaccine containing type 1 and type 3</w:t>
      </w:r>
    </w:p>
    <w:p w:rsidR="00CE6F67" w:rsidRPr="006F42BD" w:rsidRDefault="00CE6F67" w:rsidP="00CE6F67">
      <w:pPr>
        <w:tabs>
          <w:tab w:val="left" w:pos="284"/>
        </w:tabs>
        <w:jc w:val="both"/>
        <w:rPr>
          <w:sz w:val="24"/>
          <w:szCs w:val="24"/>
        </w:rPr>
      </w:pPr>
      <w:proofErr w:type="spellStart"/>
      <w:proofErr w:type="gramStart"/>
      <w:r w:rsidRPr="006F42BD">
        <w:rPr>
          <w:sz w:val="24"/>
          <w:szCs w:val="24"/>
        </w:rPr>
        <w:t>mOPV</w:t>
      </w:r>
      <w:proofErr w:type="spellEnd"/>
      <w:proofErr w:type="gramEnd"/>
      <w:r w:rsidRPr="006F42BD">
        <w:rPr>
          <w:sz w:val="24"/>
          <w:szCs w:val="24"/>
        </w:rPr>
        <w:tab/>
      </w:r>
      <w:r w:rsidRPr="006F42BD">
        <w:rPr>
          <w:sz w:val="24"/>
          <w:szCs w:val="24"/>
        </w:rPr>
        <w:tab/>
        <w:t>Monovalent oral polio vaccine containing one type only</w:t>
      </w:r>
    </w:p>
    <w:p w:rsidR="00CE6F67" w:rsidRPr="006F42BD" w:rsidRDefault="00CE6F67" w:rsidP="00CE6F67">
      <w:pPr>
        <w:tabs>
          <w:tab w:val="left" w:pos="284"/>
        </w:tabs>
        <w:jc w:val="both"/>
        <w:rPr>
          <w:sz w:val="24"/>
          <w:szCs w:val="24"/>
        </w:rPr>
      </w:pPr>
      <w:proofErr w:type="gramStart"/>
      <w:r w:rsidRPr="006F42BD">
        <w:rPr>
          <w:sz w:val="24"/>
          <w:szCs w:val="24"/>
        </w:rPr>
        <w:t>mOPV2</w:t>
      </w:r>
      <w:proofErr w:type="gramEnd"/>
      <w:r w:rsidRPr="006F42BD">
        <w:rPr>
          <w:sz w:val="24"/>
          <w:szCs w:val="24"/>
        </w:rPr>
        <w:tab/>
        <w:t>Monovalent oral polio vaccine type 2</w:t>
      </w:r>
    </w:p>
    <w:p w:rsidR="00CE6F67" w:rsidRPr="006F42BD" w:rsidRDefault="00CE6F67" w:rsidP="00CE6F67">
      <w:pPr>
        <w:tabs>
          <w:tab w:val="left" w:pos="284"/>
        </w:tabs>
        <w:jc w:val="both"/>
        <w:rPr>
          <w:sz w:val="24"/>
          <w:szCs w:val="24"/>
        </w:rPr>
      </w:pPr>
      <w:proofErr w:type="spellStart"/>
      <w:proofErr w:type="gramStart"/>
      <w:r w:rsidRPr="006F42BD">
        <w:rPr>
          <w:sz w:val="24"/>
          <w:szCs w:val="24"/>
        </w:rPr>
        <w:t>tOPV</w:t>
      </w:r>
      <w:proofErr w:type="spellEnd"/>
      <w:proofErr w:type="gramEnd"/>
      <w:r w:rsidRPr="006F42BD">
        <w:rPr>
          <w:sz w:val="24"/>
          <w:szCs w:val="24"/>
        </w:rPr>
        <w:t xml:space="preserve"> </w:t>
      </w:r>
      <w:r w:rsidRPr="006F42BD">
        <w:rPr>
          <w:sz w:val="24"/>
          <w:szCs w:val="24"/>
        </w:rPr>
        <w:tab/>
      </w:r>
      <w:r w:rsidRPr="006F42BD">
        <w:rPr>
          <w:sz w:val="24"/>
          <w:szCs w:val="24"/>
        </w:rPr>
        <w:tab/>
        <w:t xml:space="preserve">Trivalent oral polio vaccine containing type 1, type 2 and type 3 </w:t>
      </w:r>
    </w:p>
    <w:p w:rsidR="00CE6F67" w:rsidRPr="006F42BD" w:rsidRDefault="00CE6F67" w:rsidP="00CE6F67">
      <w:pPr>
        <w:tabs>
          <w:tab w:val="left" w:pos="284"/>
        </w:tabs>
        <w:jc w:val="both"/>
        <w:rPr>
          <w:sz w:val="24"/>
          <w:szCs w:val="24"/>
        </w:rPr>
      </w:pPr>
      <w:r w:rsidRPr="006F42BD">
        <w:rPr>
          <w:sz w:val="24"/>
          <w:szCs w:val="24"/>
        </w:rPr>
        <w:t>PEF</w:t>
      </w:r>
      <w:r w:rsidRPr="006F42BD">
        <w:rPr>
          <w:sz w:val="24"/>
          <w:szCs w:val="24"/>
        </w:rPr>
        <w:tab/>
      </w:r>
      <w:r w:rsidRPr="006F42BD">
        <w:rPr>
          <w:sz w:val="24"/>
          <w:szCs w:val="24"/>
        </w:rPr>
        <w:tab/>
        <w:t>Poliovirus-essential facility</w:t>
      </w:r>
    </w:p>
    <w:p w:rsidR="00CE6F67" w:rsidRPr="006F42BD" w:rsidRDefault="00CE6F67" w:rsidP="00CE6F67">
      <w:pPr>
        <w:tabs>
          <w:tab w:val="left" w:pos="284"/>
        </w:tabs>
        <w:jc w:val="both"/>
        <w:rPr>
          <w:sz w:val="24"/>
          <w:szCs w:val="24"/>
        </w:rPr>
      </w:pPr>
      <w:proofErr w:type="spellStart"/>
      <w:proofErr w:type="gramStart"/>
      <w:r w:rsidRPr="006F42BD">
        <w:rPr>
          <w:sz w:val="24"/>
          <w:szCs w:val="24"/>
        </w:rPr>
        <w:t>dPEF</w:t>
      </w:r>
      <w:proofErr w:type="spellEnd"/>
      <w:proofErr w:type="gramEnd"/>
      <w:r w:rsidRPr="006F42BD">
        <w:rPr>
          <w:sz w:val="24"/>
          <w:szCs w:val="24"/>
        </w:rPr>
        <w:tab/>
      </w:r>
      <w:r w:rsidRPr="006F42BD">
        <w:rPr>
          <w:sz w:val="24"/>
          <w:szCs w:val="24"/>
        </w:rPr>
        <w:tab/>
        <w:t>Designated poliovirus-essential facility</w:t>
      </w:r>
    </w:p>
    <w:p w:rsidR="00195B81" w:rsidRPr="006F42BD" w:rsidRDefault="00195B81" w:rsidP="00CE6F67">
      <w:pPr>
        <w:tabs>
          <w:tab w:val="left" w:pos="284"/>
        </w:tabs>
        <w:jc w:val="both"/>
        <w:rPr>
          <w:sz w:val="24"/>
          <w:szCs w:val="24"/>
        </w:rPr>
      </w:pPr>
      <w:r w:rsidRPr="006F42BD">
        <w:rPr>
          <w:sz w:val="24"/>
          <w:szCs w:val="24"/>
        </w:rPr>
        <w:t>PIM</w:t>
      </w:r>
      <w:r w:rsidRPr="006F42BD">
        <w:rPr>
          <w:sz w:val="24"/>
          <w:szCs w:val="24"/>
        </w:rPr>
        <w:tab/>
      </w:r>
      <w:r w:rsidRPr="006F42BD">
        <w:rPr>
          <w:sz w:val="24"/>
          <w:szCs w:val="24"/>
        </w:rPr>
        <w:tab/>
      </w:r>
      <w:r w:rsidR="005D634A" w:rsidRPr="006F42BD">
        <w:rPr>
          <w:sz w:val="24"/>
          <w:szCs w:val="24"/>
        </w:rPr>
        <w:t>P</w:t>
      </w:r>
      <w:r w:rsidRPr="006F42BD">
        <w:rPr>
          <w:sz w:val="24"/>
          <w:szCs w:val="24"/>
        </w:rPr>
        <w:t>otentially infectious material</w:t>
      </w:r>
    </w:p>
    <w:p w:rsidR="00CE6F67" w:rsidRPr="006F42BD" w:rsidRDefault="00CE6F67" w:rsidP="00CE6F67">
      <w:pPr>
        <w:tabs>
          <w:tab w:val="left" w:pos="284"/>
        </w:tabs>
        <w:jc w:val="both"/>
        <w:rPr>
          <w:sz w:val="24"/>
          <w:szCs w:val="24"/>
        </w:rPr>
      </w:pPr>
      <w:r w:rsidRPr="006F42BD">
        <w:rPr>
          <w:sz w:val="24"/>
          <w:szCs w:val="24"/>
        </w:rPr>
        <w:t xml:space="preserve">PV </w:t>
      </w:r>
      <w:r w:rsidRPr="006F42BD">
        <w:rPr>
          <w:sz w:val="24"/>
          <w:szCs w:val="24"/>
        </w:rPr>
        <w:tab/>
      </w:r>
      <w:r w:rsidRPr="006F42BD">
        <w:rPr>
          <w:sz w:val="24"/>
          <w:szCs w:val="24"/>
        </w:rPr>
        <w:tab/>
        <w:t xml:space="preserve">Poliovirus </w:t>
      </w:r>
    </w:p>
    <w:p w:rsidR="00CE6F67" w:rsidRPr="006F42BD" w:rsidRDefault="00CE6F67" w:rsidP="00CE6F67">
      <w:pPr>
        <w:tabs>
          <w:tab w:val="left" w:pos="284"/>
        </w:tabs>
        <w:jc w:val="both"/>
        <w:rPr>
          <w:sz w:val="24"/>
          <w:szCs w:val="24"/>
        </w:rPr>
      </w:pPr>
      <w:r w:rsidRPr="006F42BD">
        <w:rPr>
          <w:sz w:val="24"/>
          <w:szCs w:val="24"/>
        </w:rPr>
        <w:t>PV2</w:t>
      </w:r>
      <w:r w:rsidRPr="006F42BD">
        <w:rPr>
          <w:sz w:val="24"/>
          <w:szCs w:val="24"/>
        </w:rPr>
        <w:tab/>
      </w:r>
      <w:r w:rsidRPr="006F42BD">
        <w:rPr>
          <w:sz w:val="24"/>
          <w:szCs w:val="24"/>
        </w:rPr>
        <w:tab/>
        <w:t>Poliovirus type 2, including WPV2, VDPV2, OPV2, Sabin2</w:t>
      </w:r>
    </w:p>
    <w:p w:rsidR="00CE6F67" w:rsidRPr="006F42BD" w:rsidRDefault="00CE6F67" w:rsidP="00CE6F67">
      <w:pPr>
        <w:tabs>
          <w:tab w:val="left" w:pos="284"/>
        </w:tabs>
        <w:jc w:val="both"/>
        <w:rPr>
          <w:sz w:val="24"/>
          <w:szCs w:val="24"/>
        </w:rPr>
      </w:pPr>
      <w:r w:rsidRPr="006F42BD">
        <w:rPr>
          <w:sz w:val="24"/>
          <w:szCs w:val="24"/>
        </w:rPr>
        <w:t>PVR</w:t>
      </w:r>
      <w:r w:rsidRPr="006F42BD">
        <w:rPr>
          <w:sz w:val="24"/>
          <w:szCs w:val="24"/>
        </w:rPr>
        <w:tab/>
      </w:r>
      <w:r w:rsidRPr="006F42BD">
        <w:rPr>
          <w:sz w:val="24"/>
          <w:szCs w:val="24"/>
        </w:rPr>
        <w:tab/>
        <w:t>Poliovirus receptor</w:t>
      </w:r>
    </w:p>
    <w:p w:rsidR="00CE6F67" w:rsidRPr="006F42BD" w:rsidRDefault="00CE6F67" w:rsidP="00CE6F67">
      <w:pPr>
        <w:tabs>
          <w:tab w:val="left" w:pos="284"/>
        </w:tabs>
        <w:jc w:val="both"/>
        <w:rPr>
          <w:sz w:val="24"/>
          <w:szCs w:val="24"/>
        </w:rPr>
      </w:pPr>
      <w:r w:rsidRPr="006F42BD">
        <w:rPr>
          <w:sz w:val="24"/>
          <w:szCs w:val="24"/>
        </w:rPr>
        <w:lastRenderedPageBreak/>
        <w:t>QC</w:t>
      </w:r>
      <w:r w:rsidRPr="006F42BD">
        <w:rPr>
          <w:sz w:val="24"/>
          <w:szCs w:val="24"/>
        </w:rPr>
        <w:tab/>
      </w:r>
      <w:r w:rsidRPr="006F42BD">
        <w:rPr>
          <w:sz w:val="24"/>
          <w:szCs w:val="24"/>
        </w:rPr>
        <w:tab/>
        <w:t xml:space="preserve">Quality control </w:t>
      </w:r>
    </w:p>
    <w:p w:rsidR="00CE6F67" w:rsidRPr="006F42BD" w:rsidRDefault="00CE6F67" w:rsidP="00CE6F67">
      <w:pPr>
        <w:tabs>
          <w:tab w:val="left" w:pos="284"/>
        </w:tabs>
        <w:jc w:val="both"/>
        <w:rPr>
          <w:sz w:val="24"/>
          <w:szCs w:val="24"/>
        </w:rPr>
      </w:pPr>
      <w:r w:rsidRPr="006F42BD">
        <w:rPr>
          <w:sz w:val="24"/>
          <w:szCs w:val="24"/>
        </w:rPr>
        <w:t>RI</w:t>
      </w:r>
      <w:r w:rsidRPr="006F42BD">
        <w:rPr>
          <w:sz w:val="24"/>
          <w:szCs w:val="24"/>
        </w:rPr>
        <w:tab/>
      </w:r>
      <w:r w:rsidRPr="006F42BD">
        <w:rPr>
          <w:sz w:val="24"/>
          <w:szCs w:val="24"/>
        </w:rPr>
        <w:tab/>
      </w:r>
      <w:r w:rsidRPr="006F42BD">
        <w:rPr>
          <w:sz w:val="24"/>
          <w:szCs w:val="24"/>
        </w:rPr>
        <w:tab/>
        <w:t>Routine immunization</w:t>
      </w:r>
    </w:p>
    <w:p w:rsidR="00CE6F67" w:rsidRPr="006F42BD" w:rsidRDefault="00CE6F67" w:rsidP="00CE6F67">
      <w:pPr>
        <w:tabs>
          <w:tab w:val="left" w:pos="284"/>
        </w:tabs>
        <w:jc w:val="both"/>
        <w:rPr>
          <w:sz w:val="24"/>
          <w:szCs w:val="24"/>
        </w:rPr>
      </w:pPr>
      <w:r w:rsidRPr="006F42BD">
        <w:rPr>
          <w:sz w:val="24"/>
          <w:szCs w:val="24"/>
        </w:rPr>
        <w:t>RNA</w:t>
      </w:r>
      <w:r w:rsidRPr="006F42BD">
        <w:rPr>
          <w:sz w:val="24"/>
          <w:szCs w:val="24"/>
        </w:rPr>
        <w:tab/>
      </w:r>
      <w:r w:rsidRPr="006F42BD">
        <w:rPr>
          <w:sz w:val="24"/>
          <w:szCs w:val="24"/>
        </w:rPr>
        <w:tab/>
        <w:t>Ribonucleic acid</w:t>
      </w:r>
    </w:p>
    <w:p w:rsidR="00CE6F67" w:rsidRPr="006F42BD" w:rsidRDefault="00CE6F67" w:rsidP="00CE6F67">
      <w:pPr>
        <w:jc w:val="both"/>
        <w:rPr>
          <w:sz w:val="24"/>
          <w:szCs w:val="24"/>
        </w:rPr>
      </w:pPr>
      <w:r w:rsidRPr="006F42BD">
        <w:rPr>
          <w:sz w:val="24"/>
          <w:szCs w:val="24"/>
        </w:rPr>
        <w:t>SIA</w:t>
      </w:r>
      <w:r w:rsidRPr="006F42BD">
        <w:rPr>
          <w:sz w:val="24"/>
          <w:szCs w:val="24"/>
        </w:rPr>
        <w:tab/>
      </w:r>
      <w:r w:rsidRPr="006F42BD">
        <w:rPr>
          <w:sz w:val="24"/>
          <w:szCs w:val="24"/>
        </w:rPr>
        <w:tab/>
        <w:t>Supplementary immunization activity</w:t>
      </w:r>
    </w:p>
    <w:p w:rsidR="00CE6F67" w:rsidRPr="006F42BD" w:rsidRDefault="00CE6F67" w:rsidP="00CE6F67">
      <w:pPr>
        <w:tabs>
          <w:tab w:val="left" w:pos="284"/>
        </w:tabs>
        <w:jc w:val="both"/>
        <w:rPr>
          <w:sz w:val="24"/>
          <w:szCs w:val="24"/>
        </w:rPr>
      </w:pPr>
      <w:r w:rsidRPr="006F42BD">
        <w:rPr>
          <w:sz w:val="24"/>
          <w:szCs w:val="24"/>
        </w:rPr>
        <w:t xml:space="preserve">VDPV </w:t>
      </w:r>
      <w:r w:rsidRPr="006F42BD">
        <w:rPr>
          <w:sz w:val="24"/>
          <w:szCs w:val="24"/>
        </w:rPr>
        <w:tab/>
      </w:r>
      <w:r w:rsidRPr="006F42BD">
        <w:rPr>
          <w:sz w:val="24"/>
          <w:szCs w:val="24"/>
        </w:rPr>
        <w:tab/>
        <w:t xml:space="preserve">Vaccine-derived poliovirus </w:t>
      </w:r>
    </w:p>
    <w:p w:rsidR="00CE6F67" w:rsidRPr="006F42BD" w:rsidRDefault="00CE6F67" w:rsidP="00CE6F67">
      <w:pPr>
        <w:tabs>
          <w:tab w:val="left" w:pos="284"/>
        </w:tabs>
        <w:jc w:val="both"/>
        <w:rPr>
          <w:sz w:val="24"/>
          <w:szCs w:val="24"/>
        </w:rPr>
      </w:pPr>
      <w:r w:rsidRPr="006F42BD">
        <w:rPr>
          <w:sz w:val="24"/>
          <w:szCs w:val="24"/>
        </w:rPr>
        <w:t xml:space="preserve">VDPV2 </w:t>
      </w:r>
      <w:r w:rsidRPr="006F42BD">
        <w:rPr>
          <w:sz w:val="24"/>
          <w:szCs w:val="24"/>
        </w:rPr>
        <w:tab/>
      </w:r>
      <w:r w:rsidRPr="006F42BD">
        <w:rPr>
          <w:sz w:val="24"/>
          <w:szCs w:val="24"/>
        </w:rPr>
        <w:tab/>
        <w:t xml:space="preserve">Vaccine-derived poliovirus type 2 </w:t>
      </w:r>
    </w:p>
    <w:p w:rsidR="00CE6F67" w:rsidRPr="006F42BD" w:rsidRDefault="00CE6F67" w:rsidP="00CE6F67">
      <w:pPr>
        <w:tabs>
          <w:tab w:val="left" w:pos="284"/>
        </w:tabs>
        <w:jc w:val="both"/>
        <w:rPr>
          <w:sz w:val="24"/>
          <w:szCs w:val="24"/>
        </w:rPr>
      </w:pPr>
      <w:proofErr w:type="spellStart"/>
      <w:proofErr w:type="gramStart"/>
      <w:r w:rsidRPr="006F42BD">
        <w:rPr>
          <w:sz w:val="24"/>
          <w:szCs w:val="24"/>
        </w:rPr>
        <w:t>aVDPV</w:t>
      </w:r>
      <w:proofErr w:type="spellEnd"/>
      <w:proofErr w:type="gramEnd"/>
      <w:r w:rsidRPr="006F42BD">
        <w:rPr>
          <w:sz w:val="24"/>
          <w:szCs w:val="24"/>
        </w:rPr>
        <w:tab/>
      </w:r>
      <w:r w:rsidRPr="006F42BD">
        <w:rPr>
          <w:sz w:val="24"/>
          <w:szCs w:val="24"/>
        </w:rPr>
        <w:tab/>
        <w:t>Ambiguous vaccine-derived poliovirus</w:t>
      </w:r>
    </w:p>
    <w:p w:rsidR="00CE6F67" w:rsidRPr="006F42BD" w:rsidRDefault="00CE6F67" w:rsidP="00CE6F67">
      <w:pPr>
        <w:tabs>
          <w:tab w:val="left" w:pos="284"/>
        </w:tabs>
        <w:jc w:val="both"/>
        <w:rPr>
          <w:sz w:val="24"/>
          <w:szCs w:val="24"/>
        </w:rPr>
      </w:pPr>
      <w:proofErr w:type="gramStart"/>
      <w:r w:rsidRPr="006F42BD">
        <w:rPr>
          <w:sz w:val="24"/>
          <w:szCs w:val="24"/>
        </w:rPr>
        <w:t>aVDPV2</w:t>
      </w:r>
      <w:proofErr w:type="gramEnd"/>
      <w:r w:rsidRPr="006F42BD">
        <w:rPr>
          <w:sz w:val="24"/>
          <w:szCs w:val="24"/>
        </w:rPr>
        <w:tab/>
        <w:t>Ambiguous vaccine-derived poliovirus type 2</w:t>
      </w:r>
    </w:p>
    <w:p w:rsidR="00CE6F67" w:rsidRPr="006F42BD" w:rsidRDefault="00CE6F67" w:rsidP="00CE6F67">
      <w:pPr>
        <w:tabs>
          <w:tab w:val="left" w:pos="240"/>
          <w:tab w:val="left" w:pos="284"/>
        </w:tabs>
        <w:jc w:val="both"/>
        <w:rPr>
          <w:sz w:val="24"/>
          <w:szCs w:val="24"/>
        </w:rPr>
      </w:pPr>
      <w:proofErr w:type="spellStart"/>
      <w:proofErr w:type="gramStart"/>
      <w:r w:rsidRPr="006F42BD">
        <w:rPr>
          <w:sz w:val="24"/>
          <w:szCs w:val="24"/>
        </w:rPr>
        <w:t>cVDPV</w:t>
      </w:r>
      <w:proofErr w:type="spellEnd"/>
      <w:proofErr w:type="gramEnd"/>
      <w:r w:rsidRPr="006F42BD">
        <w:rPr>
          <w:sz w:val="24"/>
          <w:szCs w:val="24"/>
        </w:rPr>
        <w:tab/>
      </w:r>
      <w:r w:rsidRPr="006F42BD">
        <w:rPr>
          <w:sz w:val="24"/>
          <w:szCs w:val="24"/>
        </w:rPr>
        <w:tab/>
        <w:t>Circulating vaccine-derived poliovirus</w:t>
      </w:r>
    </w:p>
    <w:p w:rsidR="00CE6F67" w:rsidRPr="006F42BD" w:rsidRDefault="00CE6F67" w:rsidP="00CE6F67">
      <w:pPr>
        <w:tabs>
          <w:tab w:val="left" w:pos="284"/>
        </w:tabs>
        <w:jc w:val="both"/>
        <w:rPr>
          <w:sz w:val="24"/>
          <w:szCs w:val="24"/>
        </w:rPr>
      </w:pPr>
      <w:proofErr w:type="gramStart"/>
      <w:r w:rsidRPr="006F42BD">
        <w:rPr>
          <w:sz w:val="24"/>
          <w:szCs w:val="24"/>
        </w:rPr>
        <w:t>cVDPV2</w:t>
      </w:r>
      <w:proofErr w:type="gramEnd"/>
      <w:r w:rsidRPr="006F42BD">
        <w:rPr>
          <w:sz w:val="24"/>
          <w:szCs w:val="24"/>
        </w:rPr>
        <w:tab/>
        <w:t>Circulating vaccine-derived poliovirus type 2</w:t>
      </w:r>
    </w:p>
    <w:p w:rsidR="00CE6F67" w:rsidRPr="006F42BD" w:rsidRDefault="00CE6F67" w:rsidP="00CE6F67">
      <w:pPr>
        <w:tabs>
          <w:tab w:val="left" w:pos="284"/>
        </w:tabs>
        <w:jc w:val="both"/>
        <w:rPr>
          <w:sz w:val="24"/>
          <w:szCs w:val="24"/>
        </w:rPr>
      </w:pPr>
      <w:proofErr w:type="spellStart"/>
      <w:proofErr w:type="gramStart"/>
      <w:r w:rsidRPr="006F42BD">
        <w:rPr>
          <w:sz w:val="24"/>
          <w:szCs w:val="24"/>
        </w:rPr>
        <w:t>iVDPV</w:t>
      </w:r>
      <w:proofErr w:type="spellEnd"/>
      <w:proofErr w:type="gramEnd"/>
      <w:r w:rsidRPr="006F42BD">
        <w:rPr>
          <w:sz w:val="24"/>
          <w:szCs w:val="24"/>
        </w:rPr>
        <w:tab/>
      </w:r>
      <w:r w:rsidRPr="006F42BD">
        <w:rPr>
          <w:sz w:val="24"/>
          <w:szCs w:val="24"/>
        </w:rPr>
        <w:tab/>
        <w:t>Immunodeficiency-associated vaccine-derived poliovirus</w:t>
      </w:r>
    </w:p>
    <w:p w:rsidR="00CE6F67" w:rsidRPr="006F42BD" w:rsidRDefault="00CE6F67" w:rsidP="00CE6F67">
      <w:pPr>
        <w:tabs>
          <w:tab w:val="left" w:pos="284"/>
        </w:tabs>
        <w:jc w:val="both"/>
        <w:rPr>
          <w:sz w:val="24"/>
          <w:szCs w:val="24"/>
        </w:rPr>
      </w:pPr>
      <w:proofErr w:type="gramStart"/>
      <w:r w:rsidRPr="006F42BD">
        <w:rPr>
          <w:sz w:val="24"/>
          <w:szCs w:val="24"/>
        </w:rPr>
        <w:t>iVDPV2</w:t>
      </w:r>
      <w:proofErr w:type="gramEnd"/>
      <w:r w:rsidRPr="006F42BD">
        <w:rPr>
          <w:sz w:val="24"/>
          <w:szCs w:val="24"/>
        </w:rPr>
        <w:tab/>
        <w:t>Immunodeficiency-associated vaccine-derived poliovirus type 2</w:t>
      </w:r>
    </w:p>
    <w:p w:rsidR="00CE6F67" w:rsidRPr="006F42BD" w:rsidRDefault="00CE6F67" w:rsidP="00CE6F67">
      <w:pPr>
        <w:tabs>
          <w:tab w:val="left" w:pos="284"/>
        </w:tabs>
        <w:jc w:val="both"/>
        <w:rPr>
          <w:sz w:val="24"/>
          <w:szCs w:val="24"/>
        </w:rPr>
      </w:pPr>
      <w:proofErr w:type="gramStart"/>
      <w:r w:rsidRPr="006F42BD">
        <w:rPr>
          <w:sz w:val="24"/>
          <w:szCs w:val="24"/>
        </w:rPr>
        <w:t>WHO</w:t>
      </w:r>
      <w:proofErr w:type="gramEnd"/>
      <w:r w:rsidRPr="006F42BD">
        <w:rPr>
          <w:sz w:val="24"/>
          <w:szCs w:val="24"/>
        </w:rPr>
        <w:t xml:space="preserve"> </w:t>
      </w:r>
      <w:r w:rsidRPr="006F42BD">
        <w:rPr>
          <w:sz w:val="24"/>
          <w:szCs w:val="24"/>
        </w:rPr>
        <w:tab/>
      </w:r>
      <w:r w:rsidRPr="006F42BD">
        <w:rPr>
          <w:sz w:val="24"/>
          <w:szCs w:val="24"/>
        </w:rPr>
        <w:tab/>
        <w:t xml:space="preserve">World Health Organization </w:t>
      </w:r>
    </w:p>
    <w:p w:rsidR="00CE6F67" w:rsidRPr="006F42BD" w:rsidRDefault="00CE6F67" w:rsidP="00CE6F67">
      <w:pPr>
        <w:tabs>
          <w:tab w:val="left" w:pos="284"/>
        </w:tabs>
        <w:jc w:val="both"/>
        <w:rPr>
          <w:sz w:val="24"/>
          <w:szCs w:val="24"/>
        </w:rPr>
      </w:pPr>
      <w:r w:rsidRPr="006F42BD">
        <w:rPr>
          <w:sz w:val="24"/>
          <w:szCs w:val="24"/>
        </w:rPr>
        <w:t xml:space="preserve">WPV </w:t>
      </w:r>
      <w:r w:rsidRPr="006F42BD">
        <w:rPr>
          <w:sz w:val="24"/>
          <w:szCs w:val="24"/>
        </w:rPr>
        <w:tab/>
      </w:r>
      <w:r w:rsidRPr="006F42BD">
        <w:rPr>
          <w:sz w:val="24"/>
          <w:szCs w:val="24"/>
        </w:rPr>
        <w:tab/>
        <w:t xml:space="preserve">Wild poliovirus </w:t>
      </w:r>
    </w:p>
    <w:p w:rsidR="00413975" w:rsidRPr="006F42BD" w:rsidRDefault="00CE6F67" w:rsidP="00CE6F67">
      <w:pPr>
        <w:rPr>
          <w:sz w:val="24"/>
          <w:szCs w:val="24"/>
        </w:rPr>
      </w:pPr>
      <w:r w:rsidRPr="006F42BD">
        <w:rPr>
          <w:sz w:val="24"/>
          <w:szCs w:val="24"/>
        </w:rPr>
        <w:t xml:space="preserve">WPV2 </w:t>
      </w:r>
      <w:r w:rsidRPr="006F42BD">
        <w:rPr>
          <w:sz w:val="24"/>
          <w:szCs w:val="24"/>
        </w:rPr>
        <w:tab/>
      </w:r>
      <w:r w:rsidRPr="006F42BD">
        <w:rPr>
          <w:sz w:val="24"/>
          <w:szCs w:val="24"/>
        </w:rPr>
        <w:tab/>
        <w:t>Wild poliovirus type 2</w:t>
      </w:r>
    </w:p>
    <w:p w:rsidR="00CE6F67" w:rsidRDefault="00CE6F67" w:rsidP="00CE6F67">
      <w:pPr>
        <w:pStyle w:val="ListParagraph"/>
        <w:rPr>
          <w:b/>
          <w:sz w:val="28"/>
          <w:szCs w:val="28"/>
        </w:rPr>
      </w:pPr>
    </w:p>
    <w:p w:rsidR="00CE6F67" w:rsidRDefault="00CE6F67" w:rsidP="00CE6F67">
      <w:pPr>
        <w:pStyle w:val="ListParagraph"/>
        <w:rPr>
          <w:b/>
          <w:sz w:val="28"/>
          <w:szCs w:val="28"/>
        </w:rPr>
      </w:pPr>
    </w:p>
    <w:p w:rsidR="00CE6F67" w:rsidRDefault="00CE6F67">
      <w:pPr>
        <w:rPr>
          <w:b/>
          <w:sz w:val="28"/>
          <w:szCs w:val="28"/>
        </w:rPr>
      </w:pPr>
      <w:r>
        <w:rPr>
          <w:b/>
          <w:sz w:val="28"/>
          <w:szCs w:val="28"/>
        </w:rPr>
        <w:br w:type="page"/>
      </w:r>
    </w:p>
    <w:p w:rsidR="00042FC8" w:rsidRPr="00451D91" w:rsidRDefault="00042FC8" w:rsidP="006F42BD">
      <w:pPr>
        <w:pStyle w:val="Heading1"/>
      </w:pPr>
      <w:bookmarkStart w:id="3" w:name="_Toc492292884"/>
      <w:r w:rsidRPr="00451D91">
        <w:lastRenderedPageBreak/>
        <w:t>Introduction</w:t>
      </w:r>
      <w:bookmarkEnd w:id="3"/>
    </w:p>
    <w:p w:rsidR="006F42BD" w:rsidRDefault="006F42BD" w:rsidP="00EA705C">
      <w:pPr>
        <w:rPr>
          <w:sz w:val="24"/>
          <w:szCs w:val="24"/>
        </w:rPr>
      </w:pPr>
    </w:p>
    <w:p w:rsidR="00614438" w:rsidRDefault="005B4BA3" w:rsidP="00EA705C">
      <w:pPr>
        <w:rPr>
          <w:sz w:val="24"/>
          <w:szCs w:val="24"/>
        </w:rPr>
      </w:pPr>
      <w:r>
        <w:rPr>
          <w:sz w:val="24"/>
          <w:szCs w:val="24"/>
        </w:rPr>
        <w:t>The Global Polio Eradication Initiative, launched in 1988, has been the largest international public health effort ever undertaken</w:t>
      </w:r>
      <w:r w:rsidR="004963A8">
        <w:rPr>
          <w:sz w:val="24"/>
          <w:szCs w:val="24"/>
        </w:rPr>
        <w:t>. Billions of children have been immunized and millions of paralytic poliomyelitis cases have been prevented</w:t>
      </w:r>
      <w:r w:rsidR="00A234B5">
        <w:rPr>
          <w:sz w:val="24"/>
          <w:szCs w:val="24"/>
        </w:rPr>
        <w:t xml:space="preserve"> through the donations of individuals and organizations, the dedicated efforts of governments at all levels, and countless hours </w:t>
      </w:r>
      <w:r w:rsidR="003E6411">
        <w:rPr>
          <w:sz w:val="24"/>
          <w:szCs w:val="24"/>
        </w:rPr>
        <w:t xml:space="preserve">by </w:t>
      </w:r>
      <w:r w:rsidR="00A234B5">
        <w:rPr>
          <w:sz w:val="24"/>
          <w:szCs w:val="24"/>
        </w:rPr>
        <w:t xml:space="preserve">volunteers. </w:t>
      </w:r>
      <w:r w:rsidR="004963A8">
        <w:rPr>
          <w:sz w:val="24"/>
          <w:szCs w:val="24"/>
        </w:rPr>
        <w:t xml:space="preserve"> </w:t>
      </w:r>
    </w:p>
    <w:p w:rsidR="00614438" w:rsidRDefault="001266F7" w:rsidP="00EA705C">
      <w:pPr>
        <w:rPr>
          <w:sz w:val="24"/>
          <w:szCs w:val="24"/>
        </w:rPr>
      </w:pPr>
      <w:r>
        <w:rPr>
          <w:sz w:val="24"/>
          <w:szCs w:val="24"/>
        </w:rPr>
        <w:t xml:space="preserve">In </w:t>
      </w:r>
      <w:r w:rsidR="004C3E9A">
        <w:rPr>
          <w:sz w:val="24"/>
          <w:szCs w:val="24"/>
        </w:rPr>
        <w:t>2015</w:t>
      </w:r>
      <w:r>
        <w:rPr>
          <w:sz w:val="24"/>
          <w:szCs w:val="24"/>
        </w:rPr>
        <w:t>, t</w:t>
      </w:r>
      <w:r w:rsidR="00C86807">
        <w:rPr>
          <w:sz w:val="24"/>
          <w:szCs w:val="24"/>
        </w:rPr>
        <w:t xml:space="preserve">he Global </w:t>
      </w:r>
      <w:r w:rsidR="002435C5">
        <w:rPr>
          <w:sz w:val="24"/>
          <w:szCs w:val="24"/>
        </w:rPr>
        <w:t xml:space="preserve">Certification Commission </w:t>
      </w:r>
      <w:r w:rsidR="00CD60AF">
        <w:rPr>
          <w:sz w:val="24"/>
          <w:szCs w:val="24"/>
        </w:rPr>
        <w:t xml:space="preserve">(GCC) </w:t>
      </w:r>
      <w:r w:rsidR="00BB111F">
        <w:rPr>
          <w:sz w:val="24"/>
          <w:szCs w:val="24"/>
        </w:rPr>
        <w:t>certified the</w:t>
      </w:r>
      <w:r>
        <w:rPr>
          <w:sz w:val="24"/>
          <w:szCs w:val="24"/>
        </w:rPr>
        <w:t xml:space="preserve"> eradication</w:t>
      </w:r>
      <w:r w:rsidR="00DE6E10">
        <w:rPr>
          <w:sz w:val="24"/>
          <w:szCs w:val="24"/>
        </w:rPr>
        <w:t xml:space="preserve"> of</w:t>
      </w:r>
      <w:r>
        <w:rPr>
          <w:sz w:val="24"/>
          <w:szCs w:val="24"/>
        </w:rPr>
        <w:t xml:space="preserve"> wild poliovirus type 2 (WPV2)</w:t>
      </w:r>
      <w:r w:rsidR="00C86807">
        <w:rPr>
          <w:sz w:val="24"/>
          <w:szCs w:val="24"/>
        </w:rPr>
        <w:t xml:space="preserve">. </w:t>
      </w:r>
      <w:r w:rsidR="00DE6E10">
        <w:rPr>
          <w:sz w:val="24"/>
          <w:szCs w:val="24"/>
        </w:rPr>
        <w:t xml:space="preserve"> </w:t>
      </w:r>
      <w:r w:rsidR="0060095F">
        <w:rPr>
          <w:sz w:val="24"/>
          <w:szCs w:val="24"/>
        </w:rPr>
        <w:t>T</w:t>
      </w:r>
      <w:r w:rsidR="00657ABD">
        <w:rPr>
          <w:sz w:val="24"/>
          <w:szCs w:val="24"/>
        </w:rPr>
        <w:t>he</w:t>
      </w:r>
      <w:r w:rsidR="00B1059F">
        <w:rPr>
          <w:sz w:val="24"/>
          <w:szCs w:val="24"/>
        </w:rPr>
        <w:t xml:space="preserve"> eradication of WPV</w:t>
      </w:r>
      <w:r w:rsidR="00DE6E10">
        <w:rPr>
          <w:sz w:val="24"/>
          <w:szCs w:val="24"/>
        </w:rPr>
        <w:t xml:space="preserve">1 and 3 </w:t>
      </w:r>
      <w:r w:rsidR="00284794">
        <w:rPr>
          <w:sz w:val="24"/>
          <w:szCs w:val="24"/>
        </w:rPr>
        <w:t>and circulating vaccine-derived polioviruses (</w:t>
      </w:r>
      <w:proofErr w:type="spellStart"/>
      <w:r w:rsidR="00284794">
        <w:rPr>
          <w:sz w:val="24"/>
          <w:szCs w:val="24"/>
        </w:rPr>
        <w:t>cVDPV</w:t>
      </w:r>
      <w:proofErr w:type="spellEnd"/>
      <w:r w:rsidR="00284794">
        <w:rPr>
          <w:sz w:val="24"/>
          <w:szCs w:val="24"/>
        </w:rPr>
        <w:t>)</w:t>
      </w:r>
      <w:r w:rsidR="0060095F">
        <w:rPr>
          <w:sz w:val="24"/>
          <w:szCs w:val="24"/>
        </w:rPr>
        <w:t xml:space="preserve"> is anticipated</w:t>
      </w:r>
      <w:r w:rsidR="00284794">
        <w:rPr>
          <w:sz w:val="24"/>
          <w:szCs w:val="24"/>
        </w:rPr>
        <w:t xml:space="preserve"> </w:t>
      </w:r>
      <w:r w:rsidR="00DE6E10">
        <w:rPr>
          <w:sz w:val="24"/>
          <w:szCs w:val="24"/>
        </w:rPr>
        <w:t>in the near future</w:t>
      </w:r>
      <w:r w:rsidR="006F42BD">
        <w:rPr>
          <w:sz w:val="24"/>
          <w:szCs w:val="24"/>
        </w:rPr>
        <w:t>.</w:t>
      </w:r>
      <w:r w:rsidR="0060095F">
        <w:rPr>
          <w:sz w:val="24"/>
          <w:szCs w:val="24"/>
        </w:rPr>
        <w:t xml:space="preserve"> T</w:t>
      </w:r>
      <w:r w:rsidR="00657ABD">
        <w:rPr>
          <w:sz w:val="24"/>
          <w:szCs w:val="24"/>
        </w:rPr>
        <w:t>he only</w:t>
      </w:r>
      <w:r w:rsidR="00437FE0">
        <w:rPr>
          <w:sz w:val="24"/>
          <w:szCs w:val="24"/>
        </w:rPr>
        <w:t xml:space="preserve"> </w:t>
      </w:r>
      <w:r w:rsidR="00EB3C47">
        <w:rPr>
          <w:sz w:val="24"/>
          <w:szCs w:val="24"/>
        </w:rPr>
        <w:t xml:space="preserve">remaining </w:t>
      </w:r>
      <w:r w:rsidR="001454E6">
        <w:rPr>
          <w:sz w:val="24"/>
          <w:szCs w:val="24"/>
        </w:rPr>
        <w:t xml:space="preserve">poliovirus </w:t>
      </w:r>
      <w:r w:rsidR="00284794">
        <w:rPr>
          <w:sz w:val="24"/>
          <w:szCs w:val="24"/>
        </w:rPr>
        <w:t xml:space="preserve">(PV) </w:t>
      </w:r>
      <w:r w:rsidR="009713A2">
        <w:rPr>
          <w:sz w:val="24"/>
          <w:szCs w:val="24"/>
        </w:rPr>
        <w:t>reservoir</w:t>
      </w:r>
      <w:r w:rsidR="00487D81">
        <w:rPr>
          <w:sz w:val="24"/>
          <w:szCs w:val="24"/>
        </w:rPr>
        <w:t>s</w:t>
      </w:r>
      <w:r w:rsidR="009713A2">
        <w:rPr>
          <w:sz w:val="24"/>
          <w:szCs w:val="24"/>
        </w:rPr>
        <w:t xml:space="preserve"> will be </w:t>
      </w:r>
      <w:r w:rsidR="002379FB">
        <w:rPr>
          <w:sz w:val="24"/>
          <w:szCs w:val="24"/>
        </w:rPr>
        <w:t xml:space="preserve">the </w:t>
      </w:r>
      <w:r w:rsidR="00487D81">
        <w:rPr>
          <w:sz w:val="24"/>
          <w:szCs w:val="24"/>
        </w:rPr>
        <w:t>facilities</w:t>
      </w:r>
      <w:r w:rsidR="007559A3">
        <w:rPr>
          <w:sz w:val="24"/>
          <w:szCs w:val="24"/>
        </w:rPr>
        <w:t>/laboratories</w:t>
      </w:r>
      <w:r w:rsidR="00487D81">
        <w:rPr>
          <w:sz w:val="24"/>
          <w:szCs w:val="24"/>
        </w:rPr>
        <w:t xml:space="preserve"> </w:t>
      </w:r>
      <w:r w:rsidR="001454E6">
        <w:rPr>
          <w:sz w:val="24"/>
          <w:szCs w:val="24"/>
        </w:rPr>
        <w:t>retaining</w:t>
      </w:r>
      <w:r w:rsidR="00CB4F81">
        <w:rPr>
          <w:sz w:val="24"/>
          <w:szCs w:val="24"/>
        </w:rPr>
        <w:t xml:space="preserve"> </w:t>
      </w:r>
      <w:r w:rsidR="000017BA">
        <w:rPr>
          <w:sz w:val="24"/>
          <w:szCs w:val="24"/>
        </w:rPr>
        <w:t xml:space="preserve">poliovirus </w:t>
      </w:r>
      <w:r w:rsidR="00A86586">
        <w:rPr>
          <w:sz w:val="24"/>
          <w:szCs w:val="24"/>
        </w:rPr>
        <w:t xml:space="preserve">infectious or potentially infectious </w:t>
      </w:r>
      <w:r w:rsidR="00CB4F81">
        <w:rPr>
          <w:sz w:val="24"/>
          <w:szCs w:val="24"/>
        </w:rPr>
        <w:t>materials</w:t>
      </w:r>
      <w:r w:rsidR="009713A2">
        <w:rPr>
          <w:sz w:val="24"/>
          <w:szCs w:val="24"/>
        </w:rPr>
        <w:t xml:space="preserve">. </w:t>
      </w:r>
      <w:r w:rsidR="00E92003">
        <w:rPr>
          <w:sz w:val="24"/>
          <w:szCs w:val="24"/>
        </w:rPr>
        <w:t>N</w:t>
      </w:r>
      <w:r w:rsidR="00D91BE7">
        <w:rPr>
          <w:sz w:val="24"/>
          <w:szCs w:val="24"/>
        </w:rPr>
        <w:t>ations</w:t>
      </w:r>
      <w:r w:rsidR="000E4F20">
        <w:rPr>
          <w:sz w:val="24"/>
          <w:szCs w:val="24"/>
        </w:rPr>
        <w:t xml:space="preserve"> </w:t>
      </w:r>
      <w:r w:rsidR="00E92003">
        <w:rPr>
          <w:sz w:val="24"/>
          <w:szCs w:val="24"/>
        </w:rPr>
        <w:t xml:space="preserve">responsible for these facilities </w:t>
      </w:r>
      <w:r w:rsidR="00DD63FE">
        <w:rPr>
          <w:sz w:val="24"/>
          <w:szCs w:val="24"/>
        </w:rPr>
        <w:t xml:space="preserve">must </w:t>
      </w:r>
      <w:r w:rsidR="00D91BE7">
        <w:rPr>
          <w:sz w:val="24"/>
          <w:szCs w:val="24"/>
        </w:rPr>
        <w:t>assur</w:t>
      </w:r>
      <w:r w:rsidR="006678C9">
        <w:rPr>
          <w:sz w:val="24"/>
          <w:szCs w:val="24"/>
        </w:rPr>
        <w:t>e</w:t>
      </w:r>
      <w:r w:rsidR="000E4F20">
        <w:rPr>
          <w:sz w:val="24"/>
          <w:szCs w:val="24"/>
        </w:rPr>
        <w:t xml:space="preserve"> the world that </w:t>
      </w:r>
      <w:r w:rsidR="00EB3C47">
        <w:rPr>
          <w:sz w:val="24"/>
          <w:szCs w:val="24"/>
        </w:rPr>
        <w:t xml:space="preserve">these </w:t>
      </w:r>
      <w:r w:rsidR="00DE6E10">
        <w:rPr>
          <w:sz w:val="24"/>
          <w:szCs w:val="24"/>
        </w:rPr>
        <w:t>reservoirs</w:t>
      </w:r>
      <w:r w:rsidR="000E4F20">
        <w:rPr>
          <w:sz w:val="24"/>
          <w:szCs w:val="24"/>
        </w:rPr>
        <w:t xml:space="preserve"> </w:t>
      </w:r>
      <w:r w:rsidR="00D91BE7">
        <w:rPr>
          <w:sz w:val="24"/>
          <w:szCs w:val="24"/>
        </w:rPr>
        <w:t xml:space="preserve">do not present a </w:t>
      </w:r>
      <w:r w:rsidR="000F03B6">
        <w:rPr>
          <w:sz w:val="24"/>
          <w:szCs w:val="24"/>
        </w:rPr>
        <w:t xml:space="preserve">post-eradication </w:t>
      </w:r>
      <w:r w:rsidR="00591521">
        <w:rPr>
          <w:sz w:val="24"/>
          <w:szCs w:val="24"/>
        </w:rPr>
        <w:t xml:space="preserve">risk </w:t>
      </w:r>
      <w:r w:rsidR="00D91BE7">
        <w:rPr>
          <w:sz w:val="24"/>
          <w:szCs w:val="24"/>
        </w:rPr>
        <w:t>of re-emerging disease</w:t>
      </w:r>
      <w:r w:rsidR="008D0DC2">
        <w:rPr>
          <w:sz w:val="24"/>
          <w:szCs w:val="24"/>
        </w:rPr>
        <w:t xml:space="preserve"> </w:t>
      </w:r>
      <w:r w:rsidR="009D22B6">
        <w:rPr>
          <w:sz w:val="24"/>
          <w:szCs w:val="24"/>
        </w:rPr>
        <w:t xml:space="preserve">that could undermine </w:t>
      </w:r>
      <w:r w:rsidR="00614438">
        <w:rPr>
          <w:sz w:val="24"/>
          <w:szCs w:val="24"/>
        </w:rPr>
        <w:t xml:space="preserve">this </w:t>
      </w:r>
      <w:r w:rsidR="00287D88">
        <w:rPr>
          <w:sz w:val="24"/>
          <w:szCs w:val="24"/>
        </w:rPr>
        <w:t>extraor</w:t>
      </w:r>
      <w:r w:rsidR="008D0DC2">
        <w:rPr>
          <w:sz w:val="24"/>
          <w:szCs w:val="24"/>
        </w:rPr>
        <w:t>dinary humanitarian achievement</w:t>
      </w:r>
      <w:r w:rsidR="00287D88">
        <w:rPr>
          <w:sz w:val="24"/>
          <w:szCs w:val="24"/>
        </w:rPr>
        <w:t>.</w:t>
      </w:r>
    </w:p>
    <w:p w:rsidR="001F1ABF" w:rsidRDefault="00E84913" w:rsidP="00EA705C">
      <w:pPr>
        <w:rPr>
          <w:sz w:val="24"/>
          <w:szCs w:val="24"/>
        </w:rPr>
      </w:pPr>
      <w:r>
        <w:rPr>
          <w:sz w:val="24"/>
          <w:szCs w:val="24"/>
        </w:rPr>
        <w:t>In 201</w:t>
      </w:r>
      <w:r w:rsidR="00795C51">
        <w:rPr>
          <w:sz w:val="24"/>
          <w:szCs w:val="24"/>
        </w:rPr>
        <w:t>5</w:t>
      </w:r>
      <w:r>
        <w:rPr>
          <w:sz w:val="24"/>
          <w:szCs w:val="24"/>
        </w:rPr>
        <w:t xml:space="preserve">, </w:t>
      </w:r>
      <w:r w:rsidR="00591521">
        <w:rPr>
          <w:sz w:val="24"/>
          <w:szCs w:val="24"/>
        </w:rPr>
        <w:t xml:space="preserve">WHO </w:t>
      </w:r>
      <w:r>
        <w:rPr>
          <w:sz w:val="24"/>
          <w:szCs w:val="24"/>
        </w:rPr>
        <w:t xml:space="preserve">published the </w:t>
      </w:r>
      <w:r w:rsidR="00A53CAE" w:rsidRPr="004348D6">
        <w:rPr>
          <w:i/>
          <w:sz w:val="24"/>
          <w:szCs w:val="24"/>
        </w:rPr>
        <w:t>Global Action Plan (GAPIII) to minimize poliovirus facility-associated risk after type-specific eradication of wild polioviruses and sequential cessation of OPV use</w:t>
      </w:r>
      <w:r w:rsidR="008D0DC2">
        <w:rPr>
          <w:i/>
          <w:sz w:val="24"/>
          <w:szCs w:val="24"/>
        </w:rPr>
        <w:t xml:space="preserve">, </w:t>
      </w:r>
      <w:r w:rsidR="00E7451A">
        <w:rPr>
          <w:sz w:val="24"/>
          <w:szCs w:val="24"/>
        </w:rPr>
        <w:t xml:space="preserve">to </w:t>
      </w:r>
      <w:r w:rsidR="00A53CAE" w:rsidRPr="004348D6">
        <w:rPr>
          <w:sz w:val="24"/>
          <w:szCs w:val="24"/>
        </w:rPr>
        <w:t xml:space="preserve">provide </w:t>
      </w:r>
      <w:r>
        <w:rPr>
          <w:sz w:val="24"/>
          <w:szCs w:val="24"/>
        </w:rPr>
        <w:t xml:space="preserve">risk reduction </w:t>
      </w:r>
      <w:r w:rsidR="00A53CAE" w:rsidRPr="004348D6">
        <w:rPr>
          <w:sz w:val="24"/>
          <w:szCs w:val="24"/>
        </w:rPr>
        <w:t xml:space="preserve">guidance </w:t>
      </w:r>
      <w:r w:rsidR="00591521">
        <w:rPr>
          <w:sz w:val="24"/>
          <w:szCs w:val="24"/>
        </w:rPr>
        <w:t>for</w:t>
      </w:r>
      <w:r w:rsidR="00BB111F">
        <w:rPr>
          <w:sz w:val="24"/>
          <w:szCs w:val="24"/>
        </w:rPr>
        <w:t xml:space="preserve"> </w:t>
      </w:r>
      <w:r w:rsidR="00AD202F" w:rsidRPr="006F42BD">
        <w:rPr>
          <w:sz w:val="24"/>
          <w:szCs w:val="24"/>
        </w:rPr>
        <w:t>PV</w:t>
      </w:r>
      <w:r w:rsidR="00A53CAE" w:rsidRPr="004348D6">
        <w:rPr>
          <w:sz w:val="24"/>
          <w:szCs w:val="24"/>
        </w:rPr>
        <w:t xml:space="preserve"> facilit</w:t>
      </w:r>
      <w:r w:rsidR="00CF158F">
        <w:rPr>
          <w:sz w:val="24"/>
          <w:szCs w:val="24"/>
        </w:rPr>
        <w:t>ies/</w:t>
      </w:r>
      <w:proofErr w:type="gramStart"/>
      <w:r w:rsidR="00CF158F">
        <w:rPr>
          <w:sz w:val="24"/>
          <w:szCs w:val="24"/>
        </w:rPr>
        <w:t>laboratories</w:t>
      </w:r>
      <w:r w:rsidR="00591521">
        <w:rPr>
          <w:sz w:val="24"/>
          <w:szCs w:val="24"/>
        </w:rPr>
        <w:t>.</w:t>
      </w:r>
      <w:proofErr w:type="gramEnd"/>
      <w:r w:rsidR="00591521">
        <w:rPr>
          <w:sz w:val="24"/>
          <w:szCs w:val="24"/>
        </w:rPr>
        <w:t xml:space="preserve"> </w:t>
      </w:r>
      <w:r w:rsidR="002526B1">
        <w:rPr>
          <w:sz w:val="24"/>
          <w:szCs w:val="24"/>
        </w:rPr>
        <w:t xml:space="preserve"> As these</w:t>
      </w:r>
      <w:r w:rsidR="00DE495E">
        <w:rPr>
          <w:sz w:val="24"/>
          <w:szCs w:val="24"/>
        </w:rPr>
        <w:t xml:space="preserve"> facilities</w:t>
      </w:r>
      <w:r w:rsidR="002526B1">
        <w:rPr>
          <w:sz w:val="24"/>
          <w:szCs w:val="24"/>
        </w:rPr>
        <w:t xml:space="preserve"> work with PV, they</w:t>
      </w:r>
      <w:r w:rsidR="00DE495E">
        <w:rPr>
          <w:sz w:val="24"/>
          <w:szCs w:val="24"/>
        </w:rPr>
        <w:t xml:space="preserve"> have the advantage of being aware of the nature of the </w:t>
      </w:r>
      <w:r w:rsidR="002526B1">
        <w:rPr>
          <w:sz w:val="24"/>
          <w:szCs w:val="24"/>
        </w:rPr>
        <w:t>agent</w:t>
      </w:r>
      <w:r w:rsidR="00732F88">
        <w:rPr>
          <w:sz w:val="24"/>
          <w:szCs w:val="24"/>
        </w:rPr>
        <w:t>s</w:t>
      </w:r>
      <w:r w:rsidR="00DE495E">
        <w:rPr>
          <w:sz w:val="24"/>
          <w:szCs w:val="24"/>
        </w:rPr>
        <w:t xml:space="preserve">, </w:t>
      </w:r>
      <w:r w:rsidR="003C3A26">
        <w:rPr>
          <w:sz w:val="24"/>
          <w:szCs w:val="24"/>
        </w:rPr>
        <w:t xml:space="preserve">the </w:t>
      </w:r>
      <w:r w:rsidR="00DE495E">
        <w:rPr>
          <w:sz w:val="24"/>
          <w:szCs w:val="24"/>
        </w:rPr>
        <w:t>operational risks, and</w:t>
      </w:r>
      <w:r w:rsidR="00657ABD">
        <w:rPr>
          <w:sz w:val="24"/>
          <w:szCs w:val="24"/>
        </w:rPr>
        <w:t xml:space="preserve"> </w:t>
      </w:r>
      <w:r w:rsidR="00DE495E">
        <w:rPr>
          <w:sz w:val="24"/>
          <w:szCs w:val="24"/>
        </w:rPr>
        <w:t xml:space="preserve">effective containment measures to reduce those risks. </w:t>
      </w:r>
      <w:r w:rsidR="007C275D" w:rsidRPr="006F42BD">
        <w:rPr>
          <w:sz w:val="24"/>
          <w:szCs w:val="24"/>
        </w:rPr>
        <w:t>N</w:t>
      </w:r>
      <w:r w:rsidR="00DE495E" w:rsidRPr="006F42BD">
        <w:rPr>
          <w:sz w:val="24"/>
          <w:szCs w:val="24"/>
        </w:rPr>
        <w:t>on-</w:t>
      </w:r>
      <w:r w:rsidR="00AD202F" w:rsidRPr="006F42BD">
        <w:rPr>
          <w:sz w:val="24"/>
          <w:szCs w:val="24"/>
        </w:rPr>
        <w:t>PV</w:t>
      </w:r>
      <w:r w:rsidR="00DE495E">
        <w:rPr>
          <w:sz w:val="24"/>
          <w:szCs w:val="24"/>
        </w:rPr>
        <w:t xml:space="preserve"> facilities</w:t>
      </w:r>
      <w:r w:rsidR="00354314">
        <w:rPr>
          <w:sz w:val="24"/>
          <w:szCs w:val="24"/>
        </w:rPr>
        <w:t xml:space="preserve"> that</w:t>
      </w:r>
      <w:r w:rsidR="00AD202F">
        <w:rPr>
          <w:sz w:val="24"/>
          <w:szCs w:val="24"/>
        </w:rPr>
        <w:t xml:space="preserve"> collect and store clinical and environmental samples for other purposes</w:t>
      </w:r>
      <w:r w:rsidR="00DE495E">
        <w:rPr>
          <w:sz w:val="24"/>
          <w:szCs w:val="24"/>
        </w:rPr>
        <w:t xml:space="preserve"> </w:t>
      </w:r>
      <w:r w:rsidR="001C01C9">
        <w:rPr>
          <w:sz w:val="24"/>
          <w:szCs w:val="24"/>
        </w:rPr>
        <w:t xml:space="preserve">present a PV transmission </w:t>
      </w:r>
      <w:r w:rsidR="005901E1">
        <w:rPr>
          <w:sz w:val="24"/>
          <w:szCs w:val="24"/>
        </w:rPr>
        <w:t xml:space="preserve">risk </w:t>
      </w:r>
      <w:r w:rsidR="001C01C9">
        <w:rPr>
          <w:sz w:val="24"/>
          <w:szCs w:val="24"/>
        </w:rPr>
        <w:t>if samples were collected in a time and place where wild polioviruses/circulating vaccine-derived polioviruses (WPV/</w:t>
      </w:r>
      <w:proofErr w:type="spellStart"/>
      <w:r w:rsidR="001C01C9">
        <w:rPr>
          <w:sz w:val="24"/>
          <w:szCs w:val="24"/>
        </w:rPr>
        <w:t>cVDPV</w:t>
      </w:r>
      <w:proofErr w:type="spellEnd"/>
      <w:r w:rsidR="001C01C9">
        <w:rPr>
          <w:sz w:val="24"/>
          <w:szCs w:val="24"/>
        </w:rPr>
        <w:t xml:space="preserve">), or OPV-derived viruses were circulating or oral polio vaccines (OPV/Sabin) </w:t>
      </w:r>
      <w:r w:rsidR="003C3A26">
        <w:rPr>
          <w:sz w:val="24"/>
          <w:szCs w:val="24"/>
        </w:rPr>
        <w:t xml:space="preserve">were </w:t>
      </w:r>
      <w:r w:rsidR="001C01C9">
        <w:rPr>
          <w:sz w:val="24"/>
          <w:szCs w:val="24"/>
        </w:rPr>
        <w:t>in use</w:t>
      </w:r>
      <w:r w:rsidR="009A1F9D">
        <w:rPr>
          <w:sz w:val="24"/>
          <w:szCs w:val="24"/>
        </w:rPr>
        <w:t>. These faci</w:t>
      </w:r>
      <w:r w:rsidR="003C3A26">
        <w:rPr>
          <w:sz w:val="24"/>
          <w:szCs w:val="24"/>
        </w:rPr>
        <w:t>l</w:t>
      </w:r>
      <w:r w:rsidR="009A1F9D">
        <w:rPr>
          <w:sz w:val="24"/>
          <w:szCs w:val="24"/>
        </w:rPr>
        <w:t xml:space="preserve">ities are </w:t>
      </w:r>
      <w:r w:rsidR="00DE495E">
        <w:rPr>
          <w:sz w:val="24"/>
          <w:szCs w:val="24"/>
        </w:rPr>
        <w:t xml:space="preserve">at a disadvantage in that the </w:t>
      </w:r>
      <w:r w:rsidR="00354314">
        <w:rPr>
          <w:sz w:val="24"/>
          <w:szCs w:val="24"/>
        </w:rPr>
        <w:t xml:space="preserve">potential </w:t>
      </w:r>
      <w:r w:rsidR="007C275D">
        <w:rPr>
          <w:sz w:val="24"/>
          <w:szCs w:val="24"/>
        </w:rPr>
        <w:t>presence of an</w:t>
      </w:r>
      <w:r w:rsidR="00705A45">
        <w:rPr>
          <w:sz w:val="24"/>
          <w:szCs w:val="24"/>
        </w:rPr>
        <w:t xml:space="preserve"> </w:t>
      </w:r>
      <w:r w:rsidR="00354314">
        <w:rPr>
          <w:sz w:val="24"/>
          <w:szCs w:val="24"/>
        </w:rPr>
        <w:t xml:space="preserve">infectious </w:t>
      </w:r>
      <w:r w:rsidR="00065973">
        <w:rPr>
          <w:sz w:val="24"/>
          <w:szCs w:val="24"/>
        </w:rPr>
        <w:t>PV</w:t>
      </w:r>
      <w:r w:rsidR="00DE495E">
        <w:rPr>
          <w:sz w:val="24"/>
          <w:szCs w:val="24"/>
        </w:rPr>
        <w:t xml:space="preserve"> in such samples </w:t>
      </w:r>
      <w:r w:rsidR="00705A45">
        <w:rPr>
          <w:sz w:val="24"/>
          <w:szCs w:val="24"/>
        </w:rPr>
        <w:t xml:space="preserve">is </w:t>
      </w:r>
      <w:r w:rsidR="002C4194">
        <w:rPr>
          <w:sz w:val="24"/>
          <w:szCs w:val="24"/>
        </w:rPr>
        <w:t xml:space="preserve">both </w:t>
      </w:r>
      <w:r w:rsidR="00705A45">
        <w:rPr>
          <w:sz w:val="24"/>
          <w:szCs w:val="24"/>
        </w:rPr>
        <w:t>undesirable and uncertain</w:t>
      </w:r>
      <w:r w:rsidR="00DE495E">
        <w:rPr>
          <w:sz w:val="24"/>
          <w:szCs w:val="24"/>
        </w:rPr>
        <w:t xml:space="preserve">. </w:t>
      </w:r>
    </w:p>
    <w:p w:rsidR="002432FA" w:rsidRDefault="00284794" w:rsidP="00EA705C">
      <w:pPr>
        <w:rPr>
          <w:sz w:val="24"/>
          <w:szCs w:val="24"/>
        </w:rPr>
      </w:pPr>
      <w:r>
        <w:rPr>
          <w:sz w:val="24"/>
          <w:szCs w:val="24"/>
        </w:rPr>
        <w:t>Non-PV r</w:t>
      </w:r>
      <w:r w:rsidR="004F0354">
        <w:rPr>
          <w:sz w:val="24"/>
          <w:szCs w:val="24"/>
        </w:rPr>
        <w:t>esearch f</w:t>
      </w:r>
      <w:r w:rsidR="00BE0AF2">
        <w:rPr>
          <w:sz w:val="24"/>
          <w:szCs w:val="24"/>
        </w:rPr>
        <w:t>acilities</w:t>
      </w:r>
      <w:r w:rsidR="0083518A">
        <w:rPr>
          <w:sz w:val="24"/>
          <w:szCs w:val="24"/>
        </w:rPr>
        <w:t xml:space="preserve"> </w:t>
      </w:r>
      <w:r w:rsidR="00724869">
        <w:rPr>
          <w:sz w:val="24"/>
          <w:szCs w:val="24"/>
        </w:rPr>
        <w:t>with</w:t>
      </w:r>
      <w:r w:rsidR="0083518A">
        <w:rPr>
          <w:sz w:val="24"/>
          <w:szCs w:val="24"/>
        </w:rPr>
        <w:t xml:space="preserve"> a high probability of storing such materials</w:t>
      </w:r>
      <w:r w:rsidR="0083518A" w:rsidRPr="0083518A">
        <w:rPr>
          <w:sz w:val="24"/>
          <w:szCs w:val="24"/>
        </w:rPr>
        <w:t xml:space="preserve"> </w:t>
      </w:r>
      <w:r w:rsidR="0083518A">
        <w:rPr>
          <w:sz w:val="24"/>
          <w:szCs w:val="24"/>
        </w:rPr>
        <w:t xml:space="preserve">include those </w:t>
      </w:r>
      <w:r w:rsidR="00BE0AF2">
        <w:rPr>
          <w:sz w:val="24"/>
          <w:szCs w:val="24"/>
        </w:rPr>
        <w:t>work</w:t>
      </w:r>
      <w:r w:rsidR="00F14C2E">
        <w:rPr>
          <w:sz w:val="24"/>
          <w:szCs w:val="24"/>
        </w:rPr>
        <w:t xml:space="preserve">ing </w:t>
      </w:r>
      <w:r w:rsidR="00BE0AF2">
        <w:rPr>
          <w:sz w:val="24"/>
          <w:szCs w:val="24"/>
        </w:rPr>
        <w:t xml:space="preserve">with rotavirus </w:t>
      </w:r>
      <w:r w:rsidR="004F0354">
        <w:rPr>
          <w:sz w:val="24"/>
          <w:szCs w:val="24"/>
        </w:rPr>
        <w:t>or other enteric agents, hepatitis</w:t>
      </w:r>
      <w:r w:rsidR="00682952">
        <w:rPr>
          <w:sz w:val="24"/>
          <w:szCs w:val="24"/>
        </w:rPr>
        <w:t xml:space="preserve"> viruses</w:t>
      </w:r>
      <w:r w:rsidR="004F0354">
        <w:rPr>
          <w:sz w:val="24"/>
          <w:szCs w:val="24"/>
        </w:rPr>
        <w:t xml:space="preserve">, </w:t>
      </w:r>
      <w:r w:rsidR="00BE0AF2">
        <w:rPr>
          <w:sz w:val="24"/>
          <w:szCs w:val="24"/>
        </w:rPr>
        <w:t>influenza/respiratory</w:t>
      </w:r>
      <w:r w:rsidR="00F14C2E">
        <w:rPr>
          <w:sz w:val="24"/>
          <w:szCs w:val="24"/>
        </w:rPr>
        <w:t xml:space="preserve"> </w:t>
      </w:r>
      <w:r w:rsidR="00920D7E">
        <w:rPr>
          <w:sz w:val="24"/>
          <w:szCs w:val="24"/>
        </w:rPr>
        <w:t>agents</w:t>
      </w:r>
      <w:r w:rsidR="00BE0AF2">
        <w:rPr>
          <w:sz w:val="24"/>
          <w:szCs w:val="24"/>
        </w:rPr>
        <w:t xml:space="preserve">, </w:t>
      </w:r>
      <w:r w:rsidR="004F0354">
        <w:rPr>
          <w:sz w:val="24"/>
          <w:szCs w:val="24"/>
        </w:rPr>
        <w:t>and measles virus</w:t>
      </w:r>
      <w:r w:rsidR="00B04CDC">
        <w:rPr>
          <w:sz w:val="24"/>
          <w:szCs w:val="24"/>
        </w:rPr>
        <w:t>,</w:t>
      </w:r>
      <w:r w:rsidR="002C4194">
        <w:rPr>
          <w:sz w:val="24"/>
          <w:szCs w:val="24"/>
        </w:rPr>
        <w:t xml:space="preserve"> or </w:t>
      </w:r>
      <w:r w:rsidR="00B04CDC">
        <w:rPr>
          <w:sz w:val="24"/>
          <w:szCs w:val="24"/>
        </w:rPr>
        <w:t xml:space="preserve">those </w:t>
      </w:r>
      <w:r w:rsidR="002C4194">
        <w:rPr>
          <w:sz w:val="24"/>
          <w:szCs w:val="24"/>
        </w:rPr>
        <w:t>conducting nutritional research</w:t>
      </w:r>
      <w:r w:rsidR="00F14C2E">
        <w:rPr>
          <w:sz w:val="24"/>
          <w:szCs w:val="24"/>
        </w:rPr>
        <w:t xml:space="preserve">. </w:t>
      </w:r>
    </w:p>
    <w:p w:rsidR="0055561A" w:rsidRPr="004E252C" w:rsidRDefault="0055561A" w:rsidP="00645555">
      <w:pPr>
        <w:pStyle w:val="Subtitle"/>
        <w:rPr>
          <w:sz w:val="24"/>
          <w:szCs w:val="24"/>
        </w:rPr>
      </w:pPr>
    </w:p>
    <w:p w:rsidR="006E1613" w:rsidRDefault="0055561A" w:rsidP="006F42BD">
      <w:pPr>
        <w:pStyle w:val="Heading1"/>
      </w:pPr>
      <w:bookmarkStart w:id="4" w:name="_Toc492292885"/>
      <w:r w:rsidRPr="00626497">
        <w:t>Purpose</w:t>
      </w:r>
      <w:bookmarkEnd w:id="4"/>
      <w:r w:rsidRPr="00626497">
        <w:t xml:space="preserve"> </w:t>
      </w:r>
    </w:p>
    <w:p w:rsidR="006F42BD" w:rsidRDefault="006F42BD" w:rsidP="00930379">
      <w:pPr>
        <w:pStyle w:val="Subtitle"/>
        <w:numPr>
          <w:ilvl w:val="0"/>
          <w:numId w:val="0"/>
        </w:numPr>
        <w:rPr>
          <w:rFonts w:eastAsiaTheme="minorHAnsi"/>
          <w:color w:val="auto"/>
          <w:spacing w:val="0"/>
          <w:sz w:val="24"/>
          <w:szCs w:val="24"/>
        </w:rPr>
      </w:pPr>
    </w:p>
    <w:p w:rsidR="00930379" w:rsidRDefault="00930379" w:rsidP="00930379">
      <w:pPr>
        <w:pStyle w:val="Subtitle"/>
        <w:numPr>
          <w:ilvl w:val="0"/>
          <w:numId w:val="0"/>
        </w:numPr>
        <w:rPr>
          <w:sz w:val="24"/>
          <w:szCs w:val="24"/>
        </w:rPr>
      </w:pPr>
      <w:r w:rsidRPr="00930379">
        <w:rPr>
          <w:rFonts w:eastAsiaTheme="minorHAnsi"/>
          <w:color w:val="auto"/>
          <w:spacing w:val="0"/>
          <w:sz w:val="24"/>
          <w:szCs w:val="24"/>
        </w:rPr>
        <w:t xml:space="preserve">The purpose of this guidance is to assist </w:t>
      </w:r>
      <w:r w:rsidRPr="006F42BD">
        <w:rPr>
          <w:rFonts w:eastAsiaTheme="minorHAnsi"/>
          <w:color w:val="auto"/>
          <w:spacing w:val="0"/>
          <w:sz w:val="24"/>
          <w:szCs w:val="24"/>
        </w:rPr>
        <w:t>non-PV</w:t>
      </w:r>
      <w:r w:rsidRPr="00930379">
        <w:rPr>
          <w:rFonts w:eastAsiaTheme="minorHAnsi"/>
          <w:color w:val="auto"/>
          <w:spacing w:val="0"/>
          <w:sz w:val="24"/>
          <w:szCs w:val="24"/>
        </w:rPr>
        <w:t xml:space="preserve"> facilities/laboratories to assess the risk of poliovirus potentially infectious materials (PIM) in their possession and to implement appropriate risk reduction consistent with GAPIII.</w:t>
      </w:r>
      <w:r w:rsidRPr="004E252C">
        <w:rPr>
          <w:sz w:val="24"/>
          <w:szCs w:val="24"/>
        </w:rPr>
        <w:t xml:space="preserve"> </w:t>
      </w:r>
    </w:p>
    <w:p w:rsidR="00930379" w:rsidRPr="00930379" w:rsidRDefault="00930379" w:rsidP="00930379">
      <w:pPr>
        <w:pStyle w:val="Subtitle"/>
        <w:numPr>
          <w:ilvl w:val="0"/>
          <w:numId w:val="0"/>
        </w:numPr>
        <w:rPr>
          <w:rFonts w:eastAsiaTheme="minorHAnsi"/>
          <w:color w:val="auto"/>
          <w:spacing w:val="0"/>
          <w:sz w:val="24"/>
          <w:szCs w:val="24"/>
        </w:rPr>
      </w:pPr>
      <w:r w:rsidRPr="00930379">
        <w:rPr>
          <w:rFonts w:eastAsiaTheme="minorHAnsi"/>
          <w:color w:val="auto"/>
          <w:spacing w:val="0"/>
          <w:sz w:val="24"/>
          <w:szCs w:val="24"/>
        </w:rPr>
        <w:t>At the time of publication, th</w:t>
      </w:r>
      <w:r w:rsidR="005A2C8D">
        <w:rPr>
          <w:rFonts w:eastAsiaTheme="minorHAnsi"/>
          <w:color w:val="auto"/>
          <w:spacing w:val="0"/>
          <w:sz w:val="24"/>
          <w:szCs w:val="24"/>
        </w:rPr>
        <w:t>is guidance is</w:t>
      </w:r>
      <w:r w:rsidRPr="00930379">
        <w:rPr>
          <w:rFonts w:eastAsiaTheme="minorHAnsi"/>
          <w:color w:val="auto"/>
          <w:spacing w:val="0"/>
          <w:sz w:val="24"/>
          <w:szCs w:val="24"/>
        </w:rPr>
        <w:t xml:space="preserve"> in effect for all type 2 PVs. </w:t>
      </w:r>
    </w:p>
    <w:p w:rsidR="00930379" w:rsidRPr="00930379" w:rsidRDefault="00930379" w:rsidP="00930379">
      <w:pPr>
        <w:rPr>
          <w:sz w:val="24"/>
          <w:szCs w:val="28"/>
        </w:rPr>
      </w:pPr>
    </w:p>
    <w:p w:rsidR="00930379" w:rsidRPr="00626497" w:rsidRDefault="00930379" w:rsidP="006F42BD">
      <w:pPr>
        <w:pStyle w:val="Heading1"/>
      </w:pPr>
      <w:bookmarkStart w:id="5" w:name="_Toc492292886"/>
      <w:r>
        <w:lastRenderedPageBreak/>
        <w:t>Rationale</w:t>
      </w:r>
      <w:bookmarkEnd w:id="5"/>
      <w:r>
        <w:t xml:space="preserve"> </w:t>
      </w:r>
    </w:p>
    <w:p w:rsidR="0079655C" w:rsidRPr="002D716D" w:rsidRDefault="0079655C" w:rsidP="0079655C">
      <w:r w:rsidRPr="002D716D">
        <w:rPr>
          <w:sz w:val="24"/>
          <w:szCs w:val="24"/>
        </w:rPr>
        <w:t>Transmission of the three serotypes of poliovirus is maintained by person-to-person infection of humans with no evidence of an extra-human reservoir.</w:t>
      </w:r>
      <w:r w:rsidRPr="001F1ABF">
        <w:rPr>
          <w:sz w:val="24"/>
          <w:szCs w:val="24"/>
        </w:rPr>
        <w:t xml:space="preserve"> Most poliovirus infections are asymptomatic, with p</w:t>
      </w:r>
      <w:r w:rsidRPr="002D716D">
        <w:rPr>
          <w:sz w:val="24"/>
          <w:szCs w:val="24"/>
        </w:rPr>
        <w:t xml:space="preserve">aralytic poliomyelitis occurring in less than 1% of wild poliovirus infections. A reported community outbreak of 10 paralytic poliomyelitis cases may be the result of 1,000 – 10,000 asymptomatic infections. Any </w:t>
      </w:r>
      <w:r w:rsidRPr="006F42BD">
        <w:rPr>
          <w:sz w:val="24"/>
          <w:szCs w:val="24"/>
          <w:lang w:val="en-GB"/>
        </w:rPr>
        <w:t>f</w:t>
      </w:r>
      <w:r w:rsidR="00F9343E" w:rsidRPr="006F42BD">
        <w:rPr>
          <w:sz w:val="24"/>
          <w:szCs w:val="24"/>
          <w:lang w:val="en-GB"/>
        </w:rPr>
        <w:t>a</w:t>
      </w:r>
      <w:r w:rsidRPr="006F42BD">
        <w:rPr>
          <w:sz w:val="24"/>
          <w:szCs w:val="24"/>
          <w:lang w:val="en-GB"/>
        </w:rPr>
        <w:t>ecal</w:t>
      </w:r>
      <w:r w:rsidRPr="002D716D">
        <w:rPr>
          <w:sz w:val="24"/>
          <w:szCs w:val="24"/>
        </w:rPr>
        <w:t xml:space="preserve">, </w:t>
      </w:r>
      <w:r w:rsidR="00990539">
        <w:rPr>
          <w:sz w:val="24"/>
          <w:szCs w:val="24"/>
        </w:rPr>
        <w:t xml:space="preserve">respiratory </w:t>
      </w:r>
      <w:proofErr w:type="gramStart"/>
      <w:r w:rsidR="00990539">
        <w:rPr>
          <w:sz w:val="24"/>
          <w:szCs w:val="24"/>
        </w:rPr>
        <w:t>secretion</w:t>
      </w:r>
      <w:r w:rsidRPr="002D716D">
        <w:rPr>
          <w:sz w:val="24"/>
          <w:szCs w:val="24"/>
        </w:rPr>
        <w:t>,</w:t>
      </w:r>
      <w:proofErr w:type="gramEnd"/>
      <w:r w:rsidRPr="002D716D">
        <w:rPr>
          <w:sz w:val="24"/>
          <w:szCs w:val="24"/>
        </w:rPr>
        <w:t xml:space="preserve"> or sewage samples collected </w:t>
      </w:r>
      <w:r w:rsidR="007932D0" w:rsidRPr="00E519D3">
        <w:rPr>
          <w:sz w:val="24"/>
          <w:szCs w:val="24"/>
        </w:rPr>
        <w:t xml:space="preserve">in the community during that time </w:t>
      </w:r>
      <w:r w:rsidR="0000481F" w:rsidRPr="002D716D">
        <w:rPr>
          <w:sz w:val="24"/>
          <w:szCs w:val="24"/>
        </w:rPr>
        <w:t xml:space="preserve">and stored </w:t>
      </w:r>
      <w:r w:rsidRPr="002D716D">
        <w:rPr>
          <w:sz w:val="24"/>
          <w:szCs w:val="24"/>
        </w:rPr>
        <w:t xml:space="preserve">by a facility/laboratory for whatever purpose is </w:t>
      </w:r>
      <w:r w:rsidR="001F1ABF" w:rsidRPr="002D716D">
        <w:rPr>
          <w:sz w:val="24"/>
          <w:szCs w:val="24"/>
        </w:rPr>
        <w:t xml:space="preserve">considered PIM, </w:t>
      </w:r>
      <w:r w:rsidR="00581AD1" w:rsidRPr="002D716D">
        <w:rPr>
          <w:sz w:val="24"/>
          <w:szCs w:val="24"/>
        </w:rPr>
        <w:t>which includes:</w:t>
      </w:r>
      <w:r w:rsidRPr="002D716D">
        <w:rPr>
          <w:sz w:val="24"/>
          <w:szCs w:val="24"/>
        </w:rPr>
        <w:t xml:space="preserve"> </w:t>
      </w:r>
      <w:r w:rsidRPr="002D716D">
        <w:t xml:space="preserve"> </w:t>
      </w:r>
    </w:p>
    <w:p w:rsidR="00581AD1" w:rsidRPr="002D716D" w:rsidRDefault="009A1F9D" w:rsidP="00602C97">
      <w:pPr>
        <w:pStyle w:val="ListParagraph"/>
        <w:numPr>
          <w:ilvl w:val="0"/>
          <w:numId w:val="3"/>
        </w:numPr>
        <w:spacing w:after="0" w:line="240" w:lineRule="auto"/>
        <w:rPr>
          <w:sz w:val="24"/>
          <w:szCs w:val="24"/>
        </w:rPr>
      </w:pPr>
      <w:proofErr w:type="spellStart"/>
      <w:r>
        <w:rPr>
          <w:sz w:val="24"/>
          <w:szCs w:val="24"/>
        </w:rPr>
        <w:t>f</w:t>
      </w:r>
      <w:r w:rsidR="00920D7E">
        <w:rPr>
          <w:sz w:val="24"/>
          <w:szCs w:val="24"/>
        </w:rPr>
        <w:t>a</w:t>
      </w:r>
      <w:r>
        <w:rPr>
          <w:sz w:val="24"/>
          <w:szCs w:val="24"/>
        </w:rPr>
        <w:t>ecal</w:t>
      </w:r>
      <w:proofErr w:type="spellEnd"/>
      <w:r>
        <w:rPr>
          <w:sz w:val="24"/>
          <w:szCs w:val="24"/>
        </w:rPr>
        <w:t xml:space="preserve"> or res</w:t>
      </w:r>
      <w:r w:rsidR="00920D7E">
        <w:rPr>
          <w:sz w:val="24"/>
          <w:szCs w:val="24"/>
        </w:rPr>
        <w:t>p</w:t>
      </w:r>
      <w:r>
        <w:rPr>
          <w:sz w:val="24"/>
          <w:szCs w:val="24"/>
        </w:rPr>
        <w:t>iratory secretion</w:t>
      </w:r>
      <w:r w:rsidR="00581AD1" w:rsidRPr="002D716D">
        <w:rPr>
          <w:sz w:val="24"/>
          <w:szCs w:val="24"/>
        </w:rPr>
        <w:t xml:space="preserve"> samples and their derivatives (extracts, culture isolates) collected in regions endemic for wild poliovirus</w:t>
      </w:r>
      <w:r w:rsidR="00990539">
        <w:rPr>
          <w:sz w:val="24"/>
          <w:szCs w:val="24"/>
        </w:rPr>
        <w:t>,</w:t>
      </w:r>
      <w:r w:rsidR="00581AD1" w:rsidRPr="002D716D">
        <w:rPr>
          <w:sz w:val="24"/>
          <w:szCs w:val="24"/>
        </w:rPr>
        <w:t xml:space="preserve"> that may harbor the pathogen </w:t>
      </w:r>
      <w:r w:rsidR="00DA0733">
        <w:rPr>
          <w:sz w:val="24"/>
          <w:szCs w:val="24"/>
        </w:rPr>
        <w:t>with</w:t>
      </w:r>
      <w:r w:rsidR="00581AD1" w:rsidRPr="002D716D">
        <w:rPr>
          <w:sz w:val="24"/>
          <w:szCs w:val="24"/>
        </w:rPr>
        <w:t xml:space="preserve"> no indication of symptoms resembling poliovirus or enterovirus infection;</w:t>
      </w:r>
    </w:p>
    <w:p w:rsidR="00581AD1" w:rsidRPr="002D716D" w:rsidRDefault="00581AD1" w:rsidP="00602C97">
      <w:pPr>
        <w:pStyle w:val="ListParagraph"/>
        <w:numPr>
          <w:ilvl w:val="0"/>
          <w:numId w:val="3"/>
        </w:numPr>
        <w:spacing w:after="0" w:line="240" w:lineRule="auto"/>
        <w:rPr>
          <w:sz w:val="24"/>
          <w:szCs w:val="24"/>
        </w:rPr>
      </w:pPr>
      <w:proofErr w:type="spellStart"/>
      <w:r w:rsidRPr="002D716D">
        <w:rPr>
          <w:sz w:val="24"/>
          <w:szCs w:val="24"/>
        </w:rPr>
        <w:t>faecal</w:t>
      </w:r>
      <w:proofErr w:type="spellEnd"/>
      <w:r w:rsidRPr="002D716D">
        <w:rPr>
          <w:sz w:val="24"/>
          <w:szCs w:val="24"/>
        </w:rPr>
        <w:t xml:space="preserve"> or respiratory secretion specimens collected for any purpose in a time and geographic area of WPV/VDPV circulation or use of OPV;</w:t>
      </w:r>
    </w:p>
    <w:p w:rsidR="00581AD1" w:rsidRPr="002D716D" w:rsidRDefault="00581AD1" w:rsidP="00602C97">
      <w:pPr>
        <w:pStyle w:val="ListParagraph"/>
        <w:numPr>
          <w:ilvl w:val="0"/>
          <w:numId w:val="3"/>
        </w:numPr>
        <w:spacing w:after="0" w:line="240" w:lineRule="auto"/>
        <w:rPr>
          <w:sz w:val="24"/>
          <w:szCs w:val="24"/>
        </w:rPr>
      </w:pPr>
      <w:r w:rsidRPr="002D716D">
        <w:rPr>
          <w:sz w:val="24"/>
          <w:szCs w:val="24"/>
        </w:rPr>
        <w:t xml:space="preserve">products of such materials </w:t>
      </w:r>
      <w:r w:rsidR="00990539">
        <w:rPr>
          <w:sz w:val="24"/>
          <w:szCs w:val="24"/>
        </w:rPr>
        <w:t xml:space="preserve">(above) </w:t>
      </w:r>
      <w:r w:rsidRPr="002D716D">
        <w:rPr>
          <w:sz w:val="24"/>
          <w:szCs w:val="24"/>
        </w:rPr>
        <w:t>from poliovirus-permissive cells or experimentally infected animals;</w:t>
      </w:r>
    </w:p>
    <w:p w:rsidR="00581AD1" w:rsidRPr="002D716D" w:rsidRDefault="00581AD1" w:rsidP="00602C97">
      <w:pPr>
        <w:pStyle w:val="ListParagraph"/>
        <w:numPr>
          <w:ilvl w:val="0"/>
          <w:numId w:val="3"/>
        </w:numPr>
        <w:spacing w:after="0" w:line="240" w:lineRule="auto"/>
        <w:rPr>
          <w:sz w:val="24"/>
          <w:szCs w:val="24"/>
        </w:rPr>
      </w:pPr>
      <w:r w:rsidRPr="002D716D">
        <w:rPr>
          <w:sz w:val="24"/>
          <w:szCs w:val="24"/>
        </w:rPr>
        <w:t>uncharacterized enterovirus-like cell culture isolates derived from human specimens from countries known or suspected to have circulating WPV/VDPV or use of OPV at the time of collection;</w:t>
      </w:r>
    </w:p>
    <w:p w:rsidR="00581AD1" w:rsidRPr="002D716D" w:rsidRDefault="00581AD1" w:rsidP="00602C97">
      <w:pPr>
        <w:pStyle w:val="ListParagraph"/>
        <w:numPr>
          <w:ilvl w:val="0"/>
          <w:numId w:val="3"/>
        </w:numPr>
        <w:spacing w:after="0" w:line="240" w:lineRule="auto"/>
        <w:rPr>
          <w:sz w:val="24"/>
          <w:szCs w:val="24"/>
        </w:rPr>
      </w:pPr>
      <w:r w:rsidRPr="002D716D">
        <w:rPr>
          <w:sz w:val="24"/>
          <w:szCs w:val="24"/>
        </w:rPr>
        <w:t xml:space="preserve">respiratory and enteric virus stocks handled under conditions conducive to maintaining the viability or enabling the replication of incidental poliovirus; </w:t>
      </w:r>
    </w:p>
    <w:p w:rsidR="00581AD1" w:rsidRPr="007932D0" w:rsidRDefault="00581AD1" w:rsidP="00602C97">
      <w:pPr>
        <w:pStyle w:val="ListParagraph"/>
        <w:numPr>
          <w:ilvl w:val="0"/>
          <w:numId w:val="3"/>
        </w:numPr>
        <w:spacing w:after="0" w:line="240" w:lineRule="auto"/>
        <w:rPr>
          <w:sz w:val="24"/>
          <w:szCs w:val="24"/>
        </w:rPr>
      </w:pPr>
      <w:r w:rsidRPr="007932D0">
        <w:rPr>
          <w:sz w:val="24"/>
          <w:szCs w:val="24"/>
        </w:rPr>
        <w:t>environmental samples (i.e. sewage, waste water) collected in areas known or suspected to have circulating WPV/VDPV or use of OPV at the time of collection</w:t>
      </w:r>
    </w:p>
    <w:p w:rsidR="006A5D20" w:rsidRDefault="006A5D20" w:rsidP="00EA705C">
      <w:pPr>
        <w:tabs>
          <w:tab w:val="left" w:pos="1200"/>
        </w:tabs>
        <w:rPr>
          <w:sz w:val="24"/>
          <w:szCs w:val="24"/>
        </w:rPr>
      </w:pPr>
    </w:p>
    <w:p w:rsidR="00145FFF" w:rsidRDefault="00626497" w:rsidP="00EA705C">
      <w:pPr>
        <w:tabs>
          <w:tab w:val="left" w:pos="1200"/>
        </w:tabs>
        <w:rPr>
          <w:sz w:val="24"/>
          <w:szCs w:val="24"/>
        </w:rPr>
      </w:pPr>
      <w:r>
        <w:rPr>
          <w:sz w:val="24"/>
          <w:szCs w:val="24"/>
        </w:rPr>
        <w:t>The</w:t>
      </w:r>
      <w:r w:rsidR="00BC5872" w:rsidRPr="00EA705C">
        <w:rPr>
          <w:sz w:val="24"/>
          <w:szCs w:val="24"/>
        </w:rPr>
        <w:t xml:space="preserve"> non-PV facility with </w:t>
      </w:r>
      <w:r w:rsidR="008C49BA">
        <w:rPr>
          <w:sz w:val="24"/>
          <w:szCs w:val="24"/>
        </w:rPr>
        <w:t>PIM</w:t>
      </w:r>
      <w:r w:rsidR="0000481F">
        <w:rPr>
          <w:sz w:val="24"/>
          <w:szCs w:val="24"/>
        </w:rPr>
        <w:t xml:space="preserve"> collections</w:t>
      </w:r>
      <w:r w:rsidR="00BC5872" w:rsidRPr="00EA705C">
        <w:rPr>
          <w:sz w:val="24"/>
          <w:szCs w:val="24"/>
        </w:rPr>
        <w:t xml:space="preserve"> is similar to the PV facility in that</w:t>
      </w:r>
      <w:r w:rsidR="00145FFF">
        <w:rPr>
          <w:sz w:val="24"/>
          <w:szCs w:val="24"/>
        </w:rPr>
        <w:t xml:space="preserve">: </w:t>
      </w:r>
    </w:p>
    <w:p w:rsidR="00145FFF" w:rsidRDefault="007932D0" w:rsidP="00602C97">
      <w:pPr>
        <w:pStyle w:val="ListParagraph"/>
        <w:numPr>
          <w:ilvl w:val="0"/>
          <w:numId w:val="2"/>
        </w:numPr>
        <w:tabs>
          <w:tab w:val="left" w:pos="1200"/>
        </w:tabs>
        <w:rPr>
          <w:sz w:val="24"/>
          <w:szCs w:val="24"/>
        </w:rPr>
      </w:pPr>
      <w:r>
        <w:rPr>
          <w:sz w:val="24"/>
          <w:szCs w:val="24"/>
        </w:rPr>
        <w:t xml:space="preserve">Both </w:t>
      </w:r>
      <w:r w:rsidR="00626497">
        <w:rPr>
          <w:sz w:val="24"/>
          <w:szCs w:val="24"/>
        </w:rPr>
        <w:t>a</w:t>
      </w:r>
      <w:r w:rsidR="00145FFF">
        <w:rPr>
          <w:sz w:val="24"/>
          <w:szCs w:val="24"/>
        </w:rPr>
        <w:t>re</w:t>
      </w:r>
      <w:r w:rsidR="00E11E40">
        <w:rPr>
          <w:sz w:val="24"/>
          <w:szCs w:val="24"/>
        </w:rPr>
        <w:t xml:space="preserve"> </w:t>
      </w:r>
      <w:r w:rsidR="00A44D1A" w:rsidRPr="00645555">
        <w:rPr>
          <w:sz w:val="24"/>
          <w:szCs w:val="24"/>
        </w:rPr>
        <w:t xml:space="preserve">possible </w:t>
      </w:r>
      <w:r w:rsidR="00BC5872" w:rsidRPr="00645555">
        <w:rPr>
          <w:sz w:val="24"/>
          <w:szCs w:val="24"/>
        </w:rPr>
        <w:t xml:space="preserve">sources of </w:t>
      </w:r>
      <w:r w:rsidR="00173644" w:rsidRPr="00645555">
        <w:rPr>
          <w:sz w:val="24"/>
          <w:szCs w:val="24"/>
        </w:rPr>
        <w:t xml:space="preserve">facility-associated </w:t>
      </w:r>
      <w:r w:rsidR="00BC5872" w:rsidRPr="00645555">
        <w:rPr>
          <w:sz w:val="24"/>
          <w:szCs w:val="24"/>
        </w:rPr>
        <w:t>transmission</w:t>
      </w:r>
      <w:r w:rsidR="00145FFF" w:rsidRPr="00645555">
        <w:rPr>
          <w:sz w:val="24"/>
          <w:szCs w:val="24"/>
        </w:rPr>
        <w:t xml:space="preserve">, </w:t>
      </w:r>
    </w:p>
    <w:p w:rsidR="00145FFF" w:rsidRDefault="007932D0" w:rsidP="00602C97">
      <w:pPr>
        <w:pStyle w:val="ListParagraph"/>
        <w:numPr>
          <w:ilvl w:val="0"/>
          <w:numId w:val="2"/>
        </w:numPr>
        <w:tabs>
          <w:tab w:val="left" w:pos="1200"/>
        </w:tabs>
        <w:rPr>
          <w:sz w:val="24"/>
          <w:szCs w:val="24"/>
        </w:rPr>
      </w:pPr>
      <w:r>
        <w:rPr>
          <w:sz w:val="24"/>
          <w:szCs w:val="24"/>
        </w:rPr>
        <w:t xml:space="preserve">Both </w:t>
      </w:r>
      <w:r w:rsidR="00145FFF" w:rsidRPr="00645555">
        <w:rPr>
          <w:sz w:val="24"/>
          <w:szCs w:val="24"/>
        </w:rPr>
        <w:t>require facility-specific risk assessments,</w:t>
      </w:r>
      <w:r w:rsidR="008A4BEC" w:rsidRPr="00645555">
        <w:rPr>
          <w:sz w:val="24"/>
          <w:szCs w:val="24"/>
        </w:rPr>
        <w:t xml:space="preserve"> </w:t>
      </w:r>
      <w:r>
        <w:rPr>
          <w:sz w:val="24"/>
          <w:szCs w:val="24"/>
        </w:rPr>
        <w:t>and</w:t>
      </w:r>
    </w:p>
    <w:p w:rsidR="00C73F90" w:rsidRPr="00645555" w:rsidRDefault="007932D0" w:rsidP="00602C97">
      <w:pPr>
        <w:pStyle w:val="ListParagraph"/>
        <w:numPr>
          <w:ilvl w:val="0"/>
          <w:numId w:val="2"/>
        </w:numPr>
        <w:tabs>
          <w:tab w:val="left" w:pos="1200"/>
        </w:tabs>
        <w:rPr>
          <w:sz w:val="24"/>
          <w:szCs w:val="24"/>
        </w:rPr>
      </w:pPr>
      <w:r>
        <w:rPr>
          <w:sz w:val="24"/>
          <w:szCs w:val="24"/>
        </w:rPr>
        <w:t xml:space="preserve">Both </w:t>
      </w:r>
      <w:r w:rsidR="00173644" w:rsidRPr="00645555">
        <w:rPr>
          <w:sz w:val="24"/>
          <w:szCs w:val="24"/>
        </w:rPr>
        <w:t>must implement measures</w:t>
      </w:r>
      <w:r w:rsidR="008A4BEC" w:rsidRPr="00645555">
        <w:rPr>
          <w:sz w:val="24"/>
          <w:szCs w:val="24"/>
        </w:rPr>
        <w:t xml:space="preserve"> to reduce risks</w:t>
      </w:r>
      <w:r>
        <w:rPr>
          <w:sz w:val="24"/>
          <w:szCs w:val="24"/>
        </w:rPr>
        <w:t>.</w:t>
      </w:r>
      <w:r w:rsidR="008A4BEC" w:rsidRPr="00645555">
        <w:rPr>
          <w:sz w:val="24"/>
          <w:szCs w:val="24"/>
        </w:rPr>
        <w:t xml:space="preserve"> </w:t>
      </w:r>
    </w:p>
    <w:p w:rsidR="00145FFF" w:rsidRPr="00645555" w:rsidRDefault="00271D66" w:rsidP="00145FFF">
      <w:pPr>
        <w:tabs>
          <w:tab w:val="left" w:pos="1200"/>
        </w:tabs>
        <w:rPr>
          <w:sz w:val="24"/>
          <w:szCs w:val="24"/>
        </w:rPr>
      </w:pPr>
      <w:r w:rsidRPr="00645555">
        <w:rPr>
          <w:sz w:val="24"/>
          <w:szCs w:val="24"/>
        </w:rPr>
        <w:t xml:space="preserve">The non-PV facility </w:t>
      </w:r>
      <w:r w:rsidR="00173644" w:rsidRPr="00645555">
        <w:rPr>
          <w:sz w:val="24"/>
          <w:szCs w:val="24"/>
        </w:rPr>
        <w:t xml:space="preserve">is </w:t>
      </w:r>
      <w:r w:rsidRPr="00645555">
        <w:rPr>
          <w:sz w:val="24"/>
          <w:szCs w:val="24"/>
        </w:rPr>
        <w:t>differ</w:t>
      </w:r>
      <w:r w:rsidR="00173644" w:rsidRPr="00645555">
        <w:rPr>
          <w:sz w:val="24"/>
          <w:szCs w:val="24"/>
        </w:rPr>
        <w:t xml:space="preserve">ent </w:t>
      </w:r>
      <w:r w:rsidRPr="00645555">
        <w:rPr>
          <w:sz w:val="24"/>
          <w:szCs w:val="24"/>
        </w:rPr>
        <w:t>from the PV facility in that</w:t>
      </w:r>
      <w:r w:rsidR="00145FFF" w:rsidRPr="00645555">
        <w:rPr>
          <w:sz w:val="24"/>
          <w:szCs w:val="24"/>
        </w:rPr>
        <w:t xml:space="preserve">: </w:t>
      </w:r>
    </w:p>
    <w:p w:rsidR="00145FFF" w:rsidRPr="00645555" w:rsidRDefault="00173644" w:rsidP="00602C97">
      <w:pPr>
        <w:pStyle w:val="ListParagraph"/>
        <w:numPr>
          <w:ilvl w:val="0"/>
          <w:numId w:val="1"/>
        </w:numPr>
        <w:tabs>
          <w:tab w:val="left" w:pos="1200"/>
        </w:tabs>
        <w:rPr>
          <w:sz w:val="24"/>
          <w:szCs w:val="24"/>
        </w:rPr>
      </w:pPr>
      <w:r w:rsidRPr="00645555">
        <w:rPr>
          <w:sz w:val="24"/>
          <w:szCs w:val="24"/>
        </w:rPr>
        <w:t xml:space="preserve">PV </w:t>
      </w:r>
      <w:r w:rsidR="00641E6F" w:rsidRPr="00645555">
        <w:rPr>
          <w:sz w:val="24"/>
          <w:szCs w:val="24"/>
        </w:rPr>
        <w:t>is</w:t>
      </w:r>
      <w:r w:rsidR="00EA705C" w:rsidRPr="00645555">
        <w:rPr>
          <w:sz w:val="24"/>
          <w:szCs w:val="24"/>
        </w:rPr>
        <w:t xml:space="preserve"> </w:t>
      </w:r>
      <w:r w:rsidR="00271D66" w:rsidRPr="00645555">
        <w:rPr>
          <w:sz w:val="24"/>
          <w:szCs w:val="24"/>
        </w:rPr>
        <w:t xml:space="preserve">not </w:t>
      </w:r>
      <w:r w:rsidR="00E15A66" w:rsidRPr="00645555">
        <w:rPr>
          <w:sz w:val="24"/>
          <w:szCs w:val="24"/>
        </w:rPr>
        <w:t xml:space="preserve">its </w:t>
      </w:r>
      <w:r w:rsidR="00271D66" w:rsidRPr="00645555">
        <w:rPr>
          <w:sz w:val="24"/>
          <w:szCs w:val="24"/>
        </w:rPr>
        <w:t>mission</w:t>
      </w:r>
      <w:r w:rsidR="00641E6F" w:rsidRPr="00645555">
        <w:rPr>
          <w:sz w:val="24"/>
          <w:szCs w:val="24"/>
        </w:rPr>
        <w:t xml:space="preserve">. </w:t>
      </w:r>
    </w:p>
    <w:p w:rsidR="00145FFF" w:rsidRPr="00645555" w:rsidRDefault="00AC5CA8" w:rsidP="00602C97">
      <w:pPr>
        <w:pStyle w:val="ListParagraph"/>
        <w:numPr>
          <w:ilvl w:val="0"/>
          <w:numId w:val="1"/>
        </w:numPr>
        <w:tabs>
          <w:tab w:val="left" w:pos="1200"/>
        </w:tabs>
        <w:rPr>
          <w:sz w:val="24"/>
          <w:szCs w:val="24"/>
        </w:rPr>
      </w:pPr>
      <w:r w:rsidRPr="00645555">
        <w:rPr>
          <w:sz w:val="24"/>
          <w:szCs w:val="24"/>
        </w:rPr>
        <w:t>PV</w:t>
      </w:r>
      <w:r w:rsidR="00641E6F" w:rsidRPr="00645555">
        <w:rPr>
          <w:sz w:val="24"/>
          <w:szCs w:val="24"/>
        </w:rPr>
        <w:t xml:space="preserve"> is</w:t>
      </w:r>
      <w:r w:rsidRPr="00645555">
        <w:rPr>
          <w:sz w:val="24"/>
          <w:szCs w:val="24"/>
        </w:rPr>
        <w:t xml:space="preserve"> </w:t>
      </w:r>
      <w:r w:rsidR="00271D66" w:rsidRPr="00645555">
        <w:rPr>
          <w:sz w:val="24"/>
          <w:szCs w:val="24"/>
        </w:rPr>
        <w:t xml:space="preserve">encountered only as </w:t>
      </w:r>
      <w:r w:rsidR="00641E6F" w:rsidRPr="00645555">
        <w:rPr>
          <w:sz w:val="24"/>
          <w:szCs w:val="24"/>
        </w:rPr>
        <w:t xml:space="preserve">an </w:t>
      </w:r>
      <w:r w:rsidR="008C3373" w:rsidRPr="00645555">
        <w:rPr>
          <w:sz w:val="24"/>
          <w:szCs w:val="24"/>
        </w:rPr>
        <w:t>incidental</w:t>
      </w:r>
      <w:r w:rsidR="007013A7">
        <w:rPr>
          <w:sz w:val="24"/>
          <w:szCs w:val="24"/>
        </w:rPr>
        <w:t>,</w:t>
      </w:r>
      <w:r w:rsidR="008C3373" w:rsidRPr="00645555">
        <w:rPr>
          <w:sz w:val="24"/>
          <w:szCs w:val="24"/>
        </w:rPr>
        <w:t xml:space="preserve"> </w:t>
      </w:r>
      <w:r w:rsidR="00271D66" w:rsidRPr="00645555">
        <w:rPr>
          <w:sz w:val="24"/>
          <w:szCs w:val="24"/>
        </w:rPr>
        <w:t>undesirable agent</w:t>
      </w:r>
      <w:r w:rsidR="00173644" w:rsidRPr="00645555">
        <w:rPr>
          <w:sz w:val="24"/>
          <w:szCs w:val="24"/>
        </w:rPr>
        <w:t xml:space="preserve">, </w:t>
      </w:r>
    </w:p>
    <w:p w:rsidR="00145FFF" w:rsidRPr="00645555" w:rsidRDefault="00AC5CA8" w:rsidP="00602C97">
      <w:pPr>
        <w:pStyle w:val="ListParagraph"/>
        <w:numPr>
          <w:ilvl w:val="0"/>
          <w:numId w:val="1"/>
        </w:numPr>
        <w:tabs>
          <w:tab w:val="left" w:pos="1200"/>
        </w:tabs>
        <w:rPr>
          <w:sz w:val="24"/>
          <w:szCs w:val="24"/>
        </w:rPr>
      </w:pPr>
      <w:r w:rsidRPr="00645555">
        <w:rPr>
          <w:sz w:val="24"/>
          <w:szCs w:val="24"/>
        </w:rPr>
        <w:t xml:space="preserve">PV </w:t>
      </w:r>
      <w:r w:rsidR="00E11E40">
        <w:rPr>
          <w:sz w:val="24"/>
          <w:szCs w:val="24"/>
        </w:rPr>
        <w:t>is present</w:t>
      </w:r>
      <w:r w:rsidRPr="00645555">
        <w:rPr>
          <w:sz w:val="24"/>
          <w:szCs w:val="24"/>
        </w:rPr>
        <w:t xml:space="preserve"> </w:t>
      </w:r>
      <w:r w:rsidR="00173644" w:rsidRPr="00645555">
        <w:rPr>
          <w:sz w:val="24"/>
          <w:szCs w:val="24"/>
        </w:rPr>
        <w:t xml:space="preserve">in clinical samples at </w:t>
      </w:r>
      <w:r w:rsidR="00E11E40">
        <w:rPr>
          <w:sz w:val="24"/>
          <w:szCs w:val="24"/>
        </w:rPr>
        <w:t xml:space="preserve">varying rates and </w:t>
      </w:r>
      <w:r w:rsidR="00173644" w:rsidRPr="00645555">
        <w:rPr>
          <w:sz w:val="24"/>
          <w:szCs w:val="24"/>
        </w:rPr>
        <w:t>moderate titers</w:t>
      </w:r>
      <w:r w:rsidR="00F9343E">
        <w:rPr>
          <w:sz w:val="24"/>
          <w:szCs w:val="24"/>
        </w:rPr>
        <w:t>,</w:t>
      </w:r>
    </w:p>
    <w:p w:rsidR="00145FFF" w:rsidRPr="00645555" w:rsidRDefault="004D4714" w:rsidP="00602C97">
      <w:pPr>
        <w:pStyle w:val="ListParagraph"/>
        <w:numPr>
          <w:ilvl w:val="0"/>
          <w:numId w:val="1"/>
        </w:numPr>
        <w:tabs>
          <w:tab w:val="left" w:pos="1200"/>
        </w:tabs>
        <w:rPr>
          <w:sz w:val="24"/>
          <w:szCs w:val="24"/>
        </w:rPr>
      </w:pPr>
      <w:r>
        <w:rPr>
          <w:sz w:val="24"/>
          <w:szCs w:val="24"/>
        </w:rPr>
        <w:t>PV titers</w:t>
      </w:r>
      <w:r w:rsidR="007013A7">
        <w:rPr>
          <w:sz w:val="24"/>
          <w:szCs w:val="24"/>
        </w:rPr>
        <w:t xml:space="preserve"> may not be</w:t>
      </w:r>
      <w:r w:rsidR="00173644" w:rsidRPr="00645555">
        <w:rPr>
          <w:sz w:val="24"/>
          <w:szCs w:val="24"/>
        </w:rPr>
        <w:t xml:space="preserve"> </w:t>
      </w:r>
      <w:r>
        <w:rPr>
          <w:sz w:val="24"/>
          <w:szCs w:val="24"/>
        </w:rPr>
        <w:t>enriched by</w:t>
      </w:r>
      <w:r w:rsidR="00C73F90" w:rsidRPr="00645555">
        <w:rPr>
          <w:sz w:val="24"/>
          <w:szCs w:val="24"/>
        </w:rPr>
        <w:t xml:space="preserve"> agent-specific procedures</w:t>
      </w:r>
      <w:r w:rsidR="00F9343E">
        <w:rPr>
          <w:sz w:val="24"/>
          <w:szCs w:val="24"/>
        </w:rPr>
        <w:t>,</w:t>
      </w:r>
    </w:p>
    <w:p w:rsidR="00082736" w:rsidRPr="00645555" w:rsidRDefault="00626497" w:rsidP="00602C97">
      <w:pPr>
        <w:pStyle w:val="ListParagraph"/>
        <w:numPr>
          <w:ilvl w:val="0"/>
          <w:numId w:val="1"/>
        </w:numPr>
        <w:tabs>
          <w:tab w:val="left" w:pos="1200"/>
        </w:tabs>
        <w:rPr>
          <w:sz w:val="24"/>
          <w:szCs w:val="24"/>
        </w:rPr>
      </w:pPr>
      <w:r>
        <w:rPr>
          <w:sz w:val="24"/>
          <w:szCs w:val="24"/>
        </w:rPr>
        <w:t>H</w:t>
      </w:r>
      <w:r w:rsidR="00065973" w:rsidRPr="00645555">
        <w:rPr>
          <w:sz w:val="24"/>
          <w:szCs w:val="24"/>
        </w:rPr>
        <w:t xml:space="preserve">istoric </w:t>
      </w:r>
      <w:r w:rsidR="00145FFF" w:rsidRPr="00645555">
        <w:rPr>
          <w:sz w:val="24"/>
          <w:szCs w:val="24"/>
        </w:rPr>
        <w:t xml:space="preserve">PIM </w:t>
      </w:r>
      <w:r w:rsidR="00065973" w:rsidRPr="00645555">
        <w:rPr>
          <w:sz w:val="24"/>
          <w:szCs w:val="24"/>
        </w:rPr>
        <w:t xml:space="preserve">collections are reserved for </w:t>
      </w:r>
      <w:r w:rsidR="000D0181" w:rsidRPr="00645555">
        <w:rPr>
          <w:sz w:val="24"/>
          <w:szCs w:val="24"/>
        </w:rPr>
        <w:t xml:space="preserve">special </w:t>
      </w:r>
      <w:r w:rsidR="00E15A66" w:rsidRPr="00645555">
        <w:rPr>
          <w:sz w:val="24"/>
          <w:szCs w:val="24"/>
        </w:rPr>
        <w:t>studies</w:t>
      </w:r>
      <w:r w:rsidR="000D0181" w:rsidRPr="00645555">
        <w:rPr>
          <w:sz w:val="24"/>
          <w:szCs w:val="24"/>
        </w:rPr>
        <w:t xml:space="preserve">. </w:t>
      </w:r>
    </w:p>
    <w:p w:rsidR="007013A7" w:rsidRDefault="00E11E40" w:rsidP="00AC5CA8">
      <w:pPr>
        <w:tabs>
          <w:tab w:val="left" w:pos="1200"/>
        </w:tabs>
        <w:rPr>
          <w:sz w:val="24"/>
          <w:szCs w:val="24"/>
        </w:rPr>
      </w:pPr>
      <w:r>
        <w:rPr>
          <w:sz w:val="24"/>
          <w:szCs w:val="24"/>
        </w:rPr>
        <w:t xml:space="preserve">The </w:t>
      </w:r>
      <w:r w:rsidR="003B5225">
        <w:rPr>
          <w:sz w:val="24"/>
          <w:szCs w:val="24"/>
        </w:rPr>
        <w:t>inclusion of non-</w:t>
      </w:r>
      <w:r w:rsidR="00186AD4">
        <w:rPr>
          <w:sz w:val="24"/>
          <w:szCs w:val="24"/>
        </w:rPr>
        <w:t>PV</w:t>
      </w:r>
      <w:r w:rsidR="003B5225">
        <w:rPr>
          <w:sz w:val="24"/>
          <w:szCs w:val="24"/>
        </w:rPr>
        <w:t xml:space="preserve"> facilities </w:t>
      </w:r>
      <w:r w:rsidR="007013A7">
        <w:rPr>
          <w:sz w:val="24"/>
          <w:szCs w:val="24"/>
        </w:rPr>
        <w:t>with PIM</w:t>
      </w:r>
      <w:r w:rsidR="004D4714" w:rsidRPr="004D4714">
        <w:rPr>
          <w:sz w:val="24"/>
          <w:szCs w:val="24"/>
        </w:rPr>
        <w:t xml:space="preserve"> </w:t>
      </w:r>
      <w:r w:rsidR="004D4714">
        <w:rPr>
          <w:sz w:val="24"/>
          <w:szCs w:val="24"/>
        </w:rPr>
        <w:t>in global PV containment efforts</w:t>
      </w:r>
      <w:r w:rsidR="007013A7">
        <w:rPr>
          <w:sz w:val="24"/>
          <w:szCs w:val="24"/>
        </w:rPr>
        <w:t xml:space="preserve"> </w:t>
      </w:r>
      <w:r w:rsidR="003B5225">
        <w:rPr>
          <w:sz w:val="24"/>
          <w:szCs w:val="24"/>
        </w:rPr>
        <w:t xml:space="preserve">is crucial. </w:t>
      </w:r>
      <w:r>
        <w:rPr>
          <w:sz w:val="24"/>
          <w:szCs w:val="24"/>
        </w:rPr>
        <w:t xml:space="preserve"> </w:t>
      </w:r>
      <w:r w:rsidR="003B5225">
        <w:rPr>
          <w:sz w:val="24"/>
          <w:szCs w:val="24"/>
        </w:rPr>
        <w:t xml:space="preserve">Any possible advantage of </w:t>
      </w:r>
      <w:r w:rsidR="000D0181">
        <w:rPr>
          <w:sz w:val="24"/>
          <w:szCs w:val="24"/>
        </w:rPr>
        <w:t xml:space="preserve">lower </w:t>
      </w:r>
      <w:r w:rsidR="003B5225">
        <w:rPr>
          <w:sz w:val="24"/>
          <w:szCs w:val="24"/>
        </w:rPr>
        <w:t xml:space="preserve">facility-transmission </w:t>
      </w:r>
      <w:r w:rsidR="00EA705C">
        <w:rPr>
          <w:sz w:val="24"/>
          <w:szCs w:val="24"/>
        </w:rPr>
        <w:t xml:space="preserve">risk </w:t>
      </w:r>
      <w:r w:rsidR="004D4714">
        <w:rPr>
          <w:sz w:val="24"/>
          <w:szCs w:val="24"/>
        </w:rPr>
        <w:t xml:space="preserve">of the non-PV facility </w:t>
      </w:r>
      <w:r w:rsidR="00E15A66">
        <w:rPr>
          <w:sz w:val="24"/>
          <w:szCs w:val="24"/>
        </w:rPr>
        <w:t>could</w:t>
      </w:r>
      <w:r w:rsidR="00B11341">
        <w:rPr>
          <w:sz w:val="24"/>
          <w:szCs w:val="24"/>
        </w:rPr>
        <w:t xml:space="preserve"> be </w:t>
      </w:r>
      <w:r w:rsidR="00E15A66">
        <w:rPr>
          <w:sz w:val="24"/>
          <w:szCs w:val="24"/>
        </w:rPr>
        <w:t xml:space="preserve">wholly </w:t>
      </w:r>
      <w:r w:rsidR="00B11341">
        <w:rPr>
          <w:sz w:val="24"/>
          <w:szCs w:val="24"/>
        </w:rPr>
        <w:t xml:space="preserve">offset by </w:t>
      </w:r>
      <w:r w:rsidR="00970014">
        <w:rPr>
          <w:sz w:val="24"/>
          <w:szCs w:val="24"/>
        </w:rPr>
        <w:t>the</w:t>
      </w:r>
      <w:r w:rsidR="00EA2FB8">
        <w:rPr>
          <w:sz w:val="24"/>
          <w:szCs w:val="24"/>
        </w:rPr>
        <w:t xml:space="preserve"> </w:t>
      </w:r>
      <w:r w:rsidR="00B11341">
        <w:rPr>
          <w:sz w:val="24"/>
          <w:szCs w:val="24"/>
        </w:rPr>
        <w:t>laboratory worker who is</w:t>
      </w:r>
      <w:r w:rsidR="00970014">
        <w:rPr>
          <w:sz w:val="24"/>
          <w:szCs w:val="24"/>
        </w:rPr>
        <w:t xml:space="preserve"> uninformed,</w:t>
      </w:r>
      <w:r w:rsidR="00B11341">
        <w:rPr>
          <w:sz w:val="24"/>
          <w:szCs w:val="24"/>
        </w:rPr>
        <w:t xml:space="preserve"> unaware</w:t>
      </w:r>
      <w:r w:rsidR="00970014">
        <w:rPr>
          <w:sz w:val="24"/>
          <w:szCs w:val="24"/>
        </w:rPr>
        <w:t>,</w:t>
      </w:r>
      <w:r w:rsidR="00B11341">
        <w:rPr>
          <w:sz w:val="24"/>
          <w:szCs w:val="24"/>
        </w:rPr>
        <w:t xml:space="preserve"> or unconcerned </w:t>
      </w:r>
      <w:r w:rsidR="00EA2FB8">
        <w:rPr>
          <w:sz w:val="24"/>
          <w:szCs w:val="24"/>
        </w:rPr>
        <w:t>about</w:t>
      </w:r>
      <w:r w:rsidR="00B11341">
        <w:rPr>
          <w:sz w:val="24"/>
          <w:szCs w:val="24"/>
        </w:rPr>
        <w:t xml:space="preserve"> </w:t>
      </w:r>
      <w:r w:rsidR="003B5225">
        <w:rPr>
          <w:sz w:val="24"/>
          <w:szCs w:val="24"/>
        </w:rPr>
        <w:t xml:space="preserve">PIM risks </w:t>
      </w:r>
      <w:r w:rsidR="00082736">
        <w:rPr>
          <w:sz w:val="24"/>
          <w:szCs w:val="24"/>
        </w:rPr>
        <w:t>or</w:t>
      </w:r>
      <w:r w:rsidR="00B11341">
        <w:rPr>
          <w:sz w:val="24"/>
          <w:szCs w:val="24"/>
        </w:rPr>
        <w:t xml:space="preserve"> untrained in procedures to reduce th</w:t>
      </w:r>
      <w:r w:rsidR="00EA2FB8">
        <w:rPr>
          <w:sz w:val="24"/>
          <w:szCs w:val="24"/>
        </w:rPr>
        <w:t>ose</w:t>
      </w:r>
      <w:r w:rsidR="00B11341">
        <w:rPr>
          <w:sz w:val="24"/>
          <w:szCs w:val="24"/>
        </w:rPr>
        <w:t xml:space="preserve"> risks.  </w:t>
      </w:r>
    </w:p>
    <w:p w:rsidR="00EA705C" w:rsidRDefault="00EA2FB8" w:rsidP="00AC5CA8">
      <w:pPr>
        <w:tabs>
          <w:tab w:val="left" w:pos="1200"/>
        </w:tabs>
        <w:rPr>
          <w:sz w:val="24"/>
          <w:szCs w:val="24"/>
        </w:rPr>
      </w:pPr>
      <w:proofErr w:type="gramStart"/>
      <w:r>
        <w:rPr>
          <w:sz w:val="24"/>
          <w:szCs w:val="24"/>
        </w:rPr>
        <w:t xml:space="preserve">Whether a </w:t>
      </w:r>
      <w:r w:rsidR="00D43B36">
        <w:rPr>
          <w:sz w:val="24"/>
          <w:szCs w:val="24"/>
        </w:rPr>
        <w:t>PV</w:t>
      </w:r>
      <w:r w:rsidR="00EA705C">
        <w:rPr>
          <w:sz w:val="24"/>
          <w:szCs w:val="24"/>
        </w:rPr>
        <w:t xml:space="preserve"> </w:t>
      </w:r>
      <w:r>
        <w:rPr>
          <w:sz w:val="24"/>
          <w:szCs w:val="24"/>
        </w:rPr>
        <w:t xml:space="preserve">or non-PV </w:t>
      </w:r>
      <w:r w:rsidR="00EA705C">
        <w:rPr>
          <w:sz w:val="24"/>
          <w:szCs w:val="24"/>
        </w:rPr>
        <w:t xml:space="preserve">facility, the global health and economic consequences </w:t>
      </w:r>
      <w:r w:rsidR="00D43B36">
        <w:rPr>
          <w:sz w:val="24"/>
          <w:szCs w:val="24"/>
        </w:rPr>
        <w:t xml:space="preserve">of facility-associated </w:t>
      </w:r>
      <w:r w:rsidR="005D7BD8">
        <w:rPr>
          <w:sz w:val="24"/>
          <w:szCs w:val="24"/>
        </w:rPr>
        <w:t xml:space="preserve">PV </w:t>
      </w:r>
      <w:r w:rsidR="00D43B36">
        <w:rPr>
          <w:sz w:val="24"/>
          <w:szCs w:val="24"/>
        </w:rPr>
        <w:t xml:space="preserve">transmission </w:t>
      </w:r>
      <w:r>
        <w:rPr>
          <w:sz w:val="24"/>
          <w:szCs w:val="24"/>
        </w:rPr>
        <w:t>are</w:t>
      </w:r>
      <w:r w:rsidR="00EA705C">
        <w:rPr>
          <w:sz w:val="24"/>
          <w:szCs w:val="24"/>
        </w:rPr>
        <w:t xml:space="preserve"> the same.</w:t>
      </w:r>
      <w:proofErr w:type="gramEnd"/>
      <w:r w:rsidR="00EA705C">
        <w:rPr>
          <w:sz w:val="24"/>
          <w:szCs w:val="24"/>
        </w:rPr>
        <w:t xml:space="preserve"> </w:t>
      </w:r>
    </w:p>
    <w:p w:rsidR="00141018" w:rsidRPr="002D716D" w:rsidRDefault="00141018" w:rsidP="002D716D">
      <w:pPr>
        <w:tabs>
          <w:tab w:val="left" w:pos="8160"/>
        </w:tabs>
        <w:rPr>
          <w:sz w:val="24"/>
          <w:szCs w:val="24"/>
        </w:rPr>
      </w:pPr>
    </w:p>
    <w:p w:rsidR="00D43B36" w:rsidRPr="00451D91" w:rsidRDefault="00D43B36" w:rsidP="006F42BD">
      <w:pPr>
        <w:pStyle w:val="Heading1"/>
      </w:pPr>
      <w:bookmarkStart w:id="6" w:name="_Toc492292887"/>
      <w:r w:rsidRPr="00451D91">
        <w:lastRenderedPageBreak/>
        <w:t>Strategy</w:t>
      </w:r>
      <w:bookmarkEnd w:id="6"/>
    </w:p>
    <w:p w:rsidR="006F42BD" w:rsidRDefault="006F42BD" w:rsidP="00D43B36">
      <w:pPr>
        <w:rPr>
          <w:sz w:val="24"/>
          <w:szCs w:val="24"/>
        </w:rPr>
      </w:pPr>
    </w:p>
    <w:p w:rsidR="00D43B36" w:rsidRDefault="00C115CA" w:rsidP="00D43B36">
      <w:pPr>
        <w:rPr>
          <w:sz w:val="24"/>
          <w:szCs w:val="24"/>
        </w:rPr>
      </w:pPr>
      <w:r>
        <w:rPr>
          <w:sz w:val="24"/>
          <w:szCs w:val="24"/>
        </w:rPr>
        <w:t>The global strategy for minimizing</w:t>
      </w:r>
      <w:r w:rsidR="00D43B36">
        <w:rPr>
          <w:sz w:val="24"/>
          <w:szCs w:val="24"/>
        </w:rPr>
        <w:t xml:space="preserve"> </w:t>
      </w:r>
      <w:r w:rsidR="004D3170">
        <w:rPr>
          <w:sz w:val="24"/>
          <w:szCs w:val="24"/>
        </w:rPr>
        <w:t xml:space="preserve">risks </w:t>
      </w:r>
      <w:r w:rsidR="00967DCB">
        <w:rPr>
          <w:sz w:val="24"/>
          <w:szCs w:val="24"/>
        </w:rPr>
        <w:t xml:space="preserve">from </w:t>
      </w:r>
      <w:r w:rsidR="004D3170">
        <w:rPr>
          <w:sz w:val="24"/>
          <w:szCs w:val="24"/>
        </w:rPr>
        <w:t>the non-</w:t>
      </w:r>
      <w:r w:rsidR="00082736">
        <w:rPr>
          <w:sz w:val="24"/>
          <w:szCs w:val="24"/>
        </w:rPr>
        <w:t>PV</w:t>
      </w:r>
      <w:r w:rsidR="004D3170">
        <w:rPr>
          <w:sz w:val="24"/>
          <w:szCs w:val="24"/>
        </w:rPr>
        <w:t xml:space="preserve"> facility is basically </w:t>
      </w:r>
      <w:r w:rsidR="001B5188">
        <w:rPr>
          <w:sz w:val="24"/>
          <w:szCs w:val="24"/>
        </w:rPr>
        <w:t>that</w:t>
      </w:r>
      <w:r w:rsidR="00D43B36">
        <w:rPr>
          <w:sz w:val="24"/>
          <w:szCs w:val="24"/>
        </w:rPr>
        <w:t xml:space="preserve"> outlined </w:t>
      </w:r>
      <w:r w:rsidR="004D3170">
        <w:rPr>
          <w:sz w:val="24"/>
          <w:szCs w:val="24"/>
        </w:rPr>
        <w:t>for the PV facility</w:t>
      </w:r>
      <w:r w:rsidR="00592F91">
        <w:rPr>
          <w:sz w:val="24"/>
          <w:szCs w:val="24"/>
        </w:rPr>
        <w:t xml:space="preserve"> </w:t>
      </w:r>
      <w:r w:rsidR="004D3170">
        <w:rPr>
          <w:sz w:val="24"/>
          <w:szCs w:val="24"/>
        </w:rPr>
        <w:t xml:space="preserve">in </w:t>
      </w:r>
      <w:r w:rsidR="00930379">
        <w:rPr>
          <w:sz w:val="24"/>
          <w:szCs w:val="24"/>
        </w:rPr>
        <w:t>GAPIII</w:t>
      </w:r>
      <w:r w:rsidR="00592F91">
        <w:rPr>
          <w:sz w:val="24"/>
          <w:szCs w:val="24"/>
        </w:rPr>
        <w:t>:</w:t>
      </w:r>
      <w:r w:rsidR="00D43B36">
        <w:rPr>
          <w:sz w:val="24"/>
          <w:szCs w:val="24"/>
        </w:rPr>
        <w:t xml:space="preserve"> </w:t>
      </w:r>
      <w:r w:rsidR="004D3170">
        <w:rPr>
          <w:sz w:val="24"/>
          <w:szCs w:val="24"/>
        </w:rPr>
        <w:t xml:space="preserve">1) risk elimination by </w:t>
      </w:r>
      <w:r w:rsidR="001B5188">
        <w:rPr>
          <w:sz w:val="24"/>
          <w:szCs w:val="24"/>
        </w:rPr>
        <w:t xml:space="preserve">PIM </w:t>
      </w:r>
      <w:r w:rsidR="004D3170">
        <w:rPr>
          <w:sz w:val="24"/>
          <w:szCs w:val="24"/>
        </w:rPr>
        <w:t xml:space="preserve">destruction </w:t>
      </w:r>
      <w:r w:rsidR="001B5188">
        <w:rPr>
          <w:sz w:val="24"/>
          <w:szCs w:val="24"/>
        </w:rPr>
        <w:t xml:space="preserve">or transfer to </w:t>
      </w:r>
      <w:r w:rsidR="00E132C9">
        <w:rPr>
          <w:sz w:val="24"/>
          <w:szCs w:val="24"/>
        </w:rPr>
        <w:t xml:space="preserve">a </w:t>
      </w:r>
      <w:r w:rsidR="00B03FB1">
        <w:rPr>
          <w:sz w:val="24"/>
          <w:szCs w:val="24"/>
        </w:rPr>
        <w:t>“polio-essential facility” (</w:t>
      </w:r>
      <w:r w:rsidR="00E132C9">
        <w:rPr>
          <w:sz w:val="24"/>
          <w:szCs w:val="24"/>
        </w:rPr>
        <w:t>PEF</w:t>
      </w:r>
      <w:r w:rsidR="00B03FB1">
        <w:rPr>
          <w:sz w:val="24"/>
          <w:szCs w:val="24"/>
        </w:rPr>
        <w:t>)</w:t>
      </w:r>
      <w:r w:rsidR="004D3170">
        <w:rPr>
          <w:sz w:val="24"/>
          <w:szCs w:val="24"/>
        </w:rPr>
        <w:t xml:space="preserve"> and 2) </w:t>
      </w:r>
      <w:proofErr w:type="spellStart"/>
      <w:r w:rsidR="004D3170">
        <w:rPr>
          <w:sz w:val="24"/>
          <w:szCs w:val="24"/>
        </w:rPr>
        <w:t>biorisk</w:t>
      </w:r>
      <w:proofErr w:type="spellEnd"/>
      <w:r w:rsidR="004D3170">
        <w:rPr>
          <w:sz w:val="24"/>
          <w:szCs w:val="24"/>
        </w:rPr>
        <w:t xml:space="preserve"> management </w:t>
      </w:r>
      <w:r w:rsidR="00592F91">
        <w:rPr>
          <w:sz w:val="24"/>
          <w:szCs w:val="24"/>
        </w:rPr>
        <w:t xml:space="preserve">by those </w:t>
      </w:r>
      <w:r w:rsidR="004D3170">
        <w:rPr>
          <w:sz w:val="24"/>
          <w:szCs w:val="24"/>
        </w:rPr>
        <w:t xml:space="preserve">facilities </w:t>
      </w:r>
      <w:r w:rsidR="001B5188">
        <w:rPr>
          <w:sz w:val="24"/>
          <w:szCs w:val="24"/>
        </w:rPr>
        <w:t xml:space="preserve">that </w:t>
      </w:r>
      <w:r w:rsidR="00082736">
        <w:rPr>
          <w:sz w:val="24"/>
          <w:szCs w:val="24"/>
        </w:rPr>
        <w:t xml:space="preserve">retain PIM and </w:t>
      </w:r>
      <w:r w:rsidR="001B5188">
        <w:rPr>
          <w:sz w:val="24"/>
          <w:szCs w:val="24"/>
        </w:rPr>
        <w:t xml:space="preserve">meet the </w:t>
      </w:r>
      <w:r w:rsidR="00082736">
        <w:rPr>
          <w:sz w:val="24"/>
          <w:szCs w:val="24"/>
        </w:rPr>
        <w:t xml:space="preserve">required </w:t>
      </w:r>
      <w:r w:rsidR="001B5188">
        <w:rPr>
          <w:sz w:val="24"/>
          <w:szCs w:val="24"/>
        </w:rPr>
        <w:t>safe-handling and containment requirements</w:t>
      </w:r>
      <w:r w:rsidR="00592F91">
        <w:rPr>
          <w:sz w:val="24"/>
          <w:szCs w:val="24"/>
        </w:rPr>
        <w:t xml:space="preserve">. </w:t>
      </w:r>
    </w:p>
    <w:p w:rsidR="00CB0154" w:rsidRDefault="00D43B36" w:rsidP="00CB0154">
      <w:pPr>
        <w:rPr>
          <w:sz w:val="24"/>
          <w:szCs w:val="24"/>
        </w:rPr>
      </w:pPr>
      <w:r w:rsidRPr="00592F91">
        <w:rPr>
          <w:b/>
          <w:sz w:val="24"/>
          <w:szCs w:val="24"/>
        </w:rPr>
        <w:t>Risk elimination</w:t>
      </w:r>
      <w:r w:rsidR="00592F91" w:rsidRPr="00592F91">
        <w:rPr>
          <w:b/>
          <w:sz w:val="24"/>
          <w:szCs w:val="24"/>
        </w:rPr>
        <w:t>:</w:t>
      </w:r>
      <w:r w:rsidRPr="00592F91">
        <w:rPr>
          <w:b/>
          <w:sz w:val="24"/>
          <w:szCs w:val="24"/>
        </w:rPr>
        <w:t xml:space="preserve"> </w:t>
      </w:r>
      <w:r w:rsidR="007519A6">
        <w:rPr>
          <w:b/>
          <w:sz w:val="24"/>
          <w:szCs w:val="24"/>
        </w:rPr>
        <w:t xml:space="preserve">The goal is no PIM. </w:t>
      </w:r>
      <w:r w:rsidR="00CB0154">
        <w:rPr>
          <w:sz w:val="24"/>
          <w:szCs w:val="24"/>
        </w:rPr>
        <w:t xml:space="preserve"> Non-</w:t>
      </w:r>
      <w:r w:rsidR="00082736">
        <w:rPr>
          <w:sz w:val="24"/>
          <w:szCs w:val="24"/>
        </w:rPr>
        <w:t>PV</w:t>
      </w:r>
      <w:r w:rsidR="00CB0154">
        <w:rPr>
          <w:sz w:val="24"/>
          <w:szCs w:val="24"/>
        </w:rPr>
        <w:t xml:space="preserve"> facilities should </w:t>
      </w:r>
      <w:r w:rsidR="00F31EE8">
        <w:rPr>
          <w:sz w:val="24"/>
          <w:szCs w:val="24"/>
        </w:rPr>
        <w:t xml:space="preserve">carefully consider the required resources and </w:t>
      </w:r>
      <w:r w:rsidR="00CB0154">
        <w:rPr>
          <w:sz w:val="24"/>
          <w:szCs w:val="24"/>
        </w:rPr>
        <w:t xml:space="preserve">set a high bar when deciding </w:t>
      </w:r>
      <w:r w:rsidR="00082736">
        <w:rPr>
          <w:sz w:val="24"/>
          <w:szCs w:val="24"/>
        </w:rPr>
        <w:t xml:space="preserve">on </w:t>
      </w:r>
      <w:r w:rsidR="00ED570B">
        <w:rPr>
          <w:sz w:val="24"/>
          <w:szCs w:val="24"/>
        </w:rPr>
        <w:t xml:space="preserve">whether to retain </w:t>
      </w:r>
      <w:r w:rsidR="00CB0154">
        <w:rPr>
          <w:sz w:val="24"/>
          <w:szCs w:val="24"/>
        </w:rPr>
        <w:t>PIM collections</w:t>
      </w:r>
      <w:r w:rsidR="00ED570B">
        <w:rPr>
          <w:sz w:val="24"/>
          <w:szCs w:val="24"/>
        </w:rPr>
        <w:t xml:space="preserve">, </w:t>
      </w:r>
      <w:r w:rsidR="00CB0154">
        <w:rPr>
          <w:sz w:val="24"/>
          <w:szCs w:val="24"/>
        </w:rPr>
        <w:t>particularly those with WPV</w:t>
      </w:r>
      <w:r w:rsidR="00430A5C">
        <w:rPr>
          <w:sz w:val="24"/>
          <w:szCs w:val="24"/>
        </w:rPr>
        <w:t>/</w:t>
      </w:r>
      <w:proofErr w:type="spellStart"/>
      <w:r w:rsidR="00430A5C">
        <w:rPr>
          <w:sz w:val="24"/>
          <w:szCs w:val="24"/>
        </w:rPr>
        <w:t>cVDPV</w:t>
      </w:r>
      <w:proofErr w:type="spellEnd"/>
      <w:r w:rsidR="00430A5C">
        <w:rPr>
          <w:sz w:val="24"/>
          <w:szCs w:val="24"/>
        </w:rPr>
        <w:t xml:space="preserve"> potential. </w:t>
      </w:r>
      <w:r>
        <w:rPr>
          <w:sz w:val="24"/>
          <w:szCs w:val="24"/>
        </w:rPr>
        <w:t xml:space="preserve">The scientific value of </w:t>
      </w:r>
      <w:r w:rsidR="00CB0154">
        <w:rPr>
          <w:sz w:val="24"/>
          <w:szCs w:val="24"/>
        </w:rPr>
        <w:t xml:space="preserve">retaining </w:t>
      </w:r>
      <w:r w:rsidRPr="002C3C5C">
        <w:rPr>
          <w:sz w:val="24"/>
          <w:szCs w:val="24"/>
        </w:rPr>
        <w:t>a specific</w:t>
      </w:r>
      <w:r>
        <w:rPr>
          <w:sz w:val="24"/>
          <w:szCs w:val="24"/>
        </w:rPr>
        <w:t xml:space="preserve"> </w:t>
      </w:r>
      <w:r w:rsidR="00CB0154">
        <w:rPr>
          <w:sz w:val="24"/>
          <w:szCs w:val="24"/>
        </w:rPr>
        <w:t xml:space="preserve">PIM </w:t>
      </w:r>
      <w:r w:rsidR="00ED570B">
        <w:rPr>
          <w:sz w:val="24"/>
          <w:szCs w:val="24"/>
        </w:rPr>
        <w:t xml:space="preserve">sample </w:t>
      </w:r>
      <w:r w:rsidRPr="002C3C5C">
        <w:rPr>
          <w:sz w:val="24"/>
          <w:szCs w:val="24"/>
        </w:rPr>
        <w:t xml:space="preserve">collection should </w:t>
      </w:r>
      <w:r>
        <w:rPr>
          <w:sz w:val="24"/>
          <w:szCs w:val="24"/>
        </w:rPr>
        <w:t xml:space="preserve">be carefully </w:t>
      </w:r>
      <w:r w:rsidRPr="002C3C5C">
        <w:rPr>
          <w:sz w:val="24"/>
          <w:szCs w:val="24"/>
        </w:rPr>
        <w:t>weigh</w:t>
      </w:r>
      <w:r>
        <w:rPr>
          <w:sz w:val="24"/>
          <w:szCs w:val="24"/>
        </w:rPr>
        <w:t>ed against</w:t>
      </w:r>
      <w:r w:rsidRPr="002C3C5C">
        <w:rPr>
          <w:sz w:val="24"/>
          <w:szCs w:val="24"/>
        </w:rPr>
        <w:t xml:space="preserve"> the public health value of its destruction. </w:t>
      </w:r>
    </w:p>
    <w:p w:rsidR="0094697C" w:rsidRDefault="00430A5C" w:rsidP="0094697C">
      <w:pPr>
        <w:rPr>
          <w:sz w:val="24"/>
          <w:szCs w:val="24"/>
        </w:rPr>
      </w:pPr>
      <w:proofErr w:type="spellStart"/>
      <w:r w:rsidRPr="00430A5C">
        <w:rPr>
          <w:b/>
          <w:sz w:val="24"/>
          <w:szCs w:val="24"/>
        </w:rPr>
        <w:t>Biorisk</w:t>
      </w:r>
      <w:proofErr w:type="spellEnd"/>
      <w:r w:rsidRPr="00430A5C">
        <w:rPr>
          <w:b/>
          <w:sz w:val="24"/>
          <w:szCs w:val="24"/>
        </w:rPr>
        <w:t xml:space="preserve"> management:</w:t>
      </w:r>
      <w:r>
        <w:rPr>
          <w:sz w:val="24"/>
          <w:szCs w:val="24"/>
        </w:rPr>
        <w:t xml:space="preserve"> </w:t>
      </w:r>
      <w:r w:rsidR="00ED570B">
        <w:rPr>
          <w:sz w:val="24"/>
          <w:szCs w:val="24"/>
        </w:rPr>
        <w:t xml:space="preserve">Non-PV facilities/laboratories electing to retain </w:t>
      </w:r>
      <w:r w:rsidR="00430DC8">
        <w:rPr>
          <w:sz w:val="24"/>
          <w:szCs w:val="24"/>
        </w:rPr>
        <w:t xml:space="preserve">scientifically valuable </w:t>
      </w:r>
      <w:r w:rsidR="00ED570B">
        <w:rPr>
          <w:sz w:val="24"/>
          <w:szCs w:val="24"/>
        </w:rPr>
        <w:t>PIM collection</w:t>
      </w:r>
      <w:r w:rsidR="00DA0733">
        <w:rPr>
          <w:sz w:val="24"/>
          <w:szCs w:val="24"/>
        </w:rPr>
        <w:t>s</w:t>
      </w:r>
      <w:r w:rsidR="00ED570B">
        <w:rPr>
          <w:sz w:val="24"/>
          <w:szCs w:val="24"/>
        </w:rPr>
        <w:t xml:space="preserve"> should be familiar with and prepared to </w:t>
      </w:r>
      <w:r w:rsidR="0094697C">
        <w:rPr>
          <w:sz w:val="24"/>
          <w:szCs w:val="24"/>
        </w:rPr>
        <w:t xml:space="preserve">meet </w:t>
      </w:r>
      <w:proofErr w:type="spellStart"/>
      <w:r w:rsidR="00D94D2D">
        <w:rPr>
          <w:sz w:val="24"/>
          <w:szCs w:val="24"/>
        </w:rPr>
        <w:t>biorisk</w:t>
      </w:r>
      <w:proofErr w:type="spellEnd"/>
      <w:r w:rsidR="00D94D2D">
        <w:rPr>
          <w:sz w:val="24"/>
          <w:szCs w:val="24"/>
        </w:rPr>
        <w:t xml:space="preserve"> management standards </w:t>
      </w:r>
      <w:r w:rsidR="00ED570B">
        <w:rPr>
          <w:sz w:val="24"/>
          <w:szCs w:val="24"/>
        </w:rPr>
        <w:t xml:space="preserve">adequate </w:t>
      </w:r>
      <w:r w:rsidR="00ED189C">
        <w:rPr>
          <w:sz w:val="24"/>
          <w:szCs w:val="24"/>
        </w:rPr>
        <w:t xml:space="preserve">for </w:t>
      </w:r>
      <w:r w:rsidR="0094697C">
        <w:rPr>
          <w:sz w:val="24"/>
          <w:szCs w:val="24"/>
        </w:rPr>
        <w:t>risk</w:t>
      </w:r>
      <w:r w:rsidR="007519A6">
        <w:rPr>
          <w:sz w:val="24"/>
          <w:szCs w:val="24"/>
        </w:rPr>
        <w:t xml:space="preserve"> mitigation</w:t>
      </w:r>
      <w:r w:rsidR="00430DC8">
        <w:rPr>
          <w:sz w:val="24"/>
          <w:szCs w:val="24"/>
        </w:rPr>
        <w:t>.</w:t>
      </w:r>
    </w:p>
    <w:p w:rsidR="0094697C" w:rsidRPr="00F31EE8" w:rsidRDefault="00F31EE8" w:rsidP="0094697C">
      <w:pPr>
        <w:rPr>
          <w:sz w:val="24"/>
          <w:szCs w:val="24"/>
        </w:rPr>
      </w:pPr>
      <w:r>
        <w:rPr>
          <w:sz w:val="24"/>
          <w:szCs w:val="24"/>
        </w:rPr>
        <w:t>For PIM collections with WPV/</w:t>
      </w:r>
      <w:proofErr w:type="spellStart"/>
      <w:r>
        <w:rPr>
          <w:sz w:val="24"/>
          <w:szCs w:val="24"/>
        </w:rPr>
        <w:t>cVDPV</w:t>
      </w:r>
      <w:proofErr w:type="spellEnd"/>
      <w:r>
        <w:rPr>
          <w:sz w:val="24"/>
          <w:szCs w:val="24"/>
        </w:rPr>
        <w:t xml:space="preserve"> potential, </w:t>
      </w:r>
      <w:r w:rsidR="0094697C">
        <w:rPr>
          <w:sz w:val="24"/>
          <w:szCs w:val="24"/>
        </w:rPr>
        <w:t xml:space="preserve">the requirements </w:t>
      </w:r>
      <w:r w:rsidR="00DB123C">
        <w:rPr>
          <w:sz w:val="24"/>
          <w:szCs w:val="24"/>
        </w:rPr>
        <w:t xml:space="preserve">are </w:t>
      </w:r>
      <w:r w:rsidR="0094697C">
        <w:rPr>
          <w:sz w:val="24"/>
          <w:szCs w:val="24"/>
        </w:rPr>
        <w:t xml:space="preserve">described in </w:t>
      </w:r>
      <w:r w:rsidR="00930379">
        <w:rPr>
          <w:sz w:val="24"/>
          <w:szCs w:val="24"/>
        </w:rPr>
        <w:t>GAPIII</w:t>
      </w:r>
      <w:r w:rsidR="00ED189C">
        <w:rPr>
          <w:sz w:val="24"/>
          <w:szCs w:val="24"/>
        </w:rPr>
        <w:t>, Annex 2,</w:t>
      </w:r>
      <w:r w:rsidR="00D43B36">
        <w:rPr>
          <w:sz w:val="24"/>
          <w:szCs w:val="24"/>
        </w:rPr>
        <w:t xml:space="preserve"> </w:t>
      </w:r>
      <w:proofErr w:type="spellStart"/>
      <w:r w:rsidR="0094697C">
        <w:rPr>
          <w:i/>
          <w:sz w:val="24"/>
          <w:szCs w:val="24"/>
        </w:rPr>
        <w:t>Biorisk</w:t>
      </w:r>
      <w:proofErr w:type="spellEnd"/>
      <w:r w:rsidR="0094697C">
        <w:rPr>
          <w:i/>
          <w:sz w:val="24"/>
          <w:szCs w:val="24"/>
        </w:rPr>
        <w:t xml:space="preserve"> management standards for poliovirus-essential facilities wild poliovirus materials. </w:t>
      </w:r>
      <w:r w:rsidRPr="00B55334">
        <w:rPr>
          <w:b/>
          <w:sz w:val="24"/>
          <w:szCs w:val="24"/>
        </w:rPr>
        <w:t xml:space="preserve">These are stringent standards </w:t>
      </w:r>
      <w:r w:rsidR="004422BE" w:rsidRPr="00B55334">
        <w:rPr>
          <w:b/>
          <w:sz w:val="24"/>
          <w:szCs w:val="24"/>
        </w:rPr>
        <w:t xml:space="preserve">as required </w:t>
      </w:r>
      <w:r w:rsidRPr="00B55334">
        <w:rPr>
          <w:b/>
          <w:sz w:val="24"/>
          <w:szCs w:val="24"/>
        </w:rPr>
        <w:t>for an eradicated agent</w:t>
      </w:r>
      <w:r w:rsidR="00430DC8" w:rsidRPr="00B55334">
        <w:rPr>
          <w:b/>
          <w:sz w:val="24"/>
          <w:szCs w:val="24"/>
        </w:rPr>
        <w:t xml:space="preserve"> and should be in place</w:t>
      </w:r>
      <w:r w:rsidR="00430DC8" w:rsidRPr="00B55334">
        <w:rPr>
          <w:sz w:val="24"/>
          <w:szCs w:val="24"/>
        </w:rPr>
        <w:t xml:space="preserve"> </w:t>
      </w:r>
      <w:r w:rsidR="00430DC8">
        <w:rPr>
          <w:sz w:val="24"/>
          <w:szCs w:val="24"/>
        </w:rPr>
        <w:t xml:space="preserve">when working with these potentially infectious collections. </w:t>
      </w:r>
    </w:p>
    <w:p w:rsidR="00D43B36" w:rsidRDefault="00F31EE8" w:rsidP="0094697C">
      <w:pPr>
        <w:rPr>
          <w:sz w:val="24"/>
          <w:szCs w:val="24"/>
        </w:rPr>
      </w:pPr>
      <w:r>
        <w:rPr>
          <w:sz w:val="24"/>
          <w:szCs w:val="24"/>
        </w:rPr>
        <w:t>For PIM collections with OPV/Sabin potential, n</w:t>
      </w:r>
      <w:r w:rsidR="0094697C">
        <w:rPr>
          <w:sz w:val="24"/>
          <w:szCs w:val="24"/>
        </w:rPr>
        <w:t xml:space="preserve">on-PV facilities must meet the </w:t>
      </w:r>
      <w:r w:rsidR="00DB123C">
        <w:rPr>
          <w:sz w:val="24"/>
          <w:szCs w:val="24"/>
        </w:rPr>
        <w:t xml:space="preserve">risk-appropriate </w:t>
      </w:r>
      <w:r w:rsidR="0094697C">
        <w:rPr>
          <w:sz w:val="24"/>
          <w:szCs w:val="24"/>
        </w:rPr>
        <w:t>management standards described in this publication</w:t>
      </w:r>
      <w:r w:rsidR="00DB123C">
        <w:rPr>
          <w:sz w:val="24"/>
          <w:szCs w:val="24"/>
        </w:rPr>
        <w:t>.</w:t>
      </w:r>
    </w:p>
    <w:p w:rsidR="004422BE" w:rsidRDefault="004422BE" w:rsidP="005338A2">
      <w:pPr>
        <w:rPr>
          <w:b/>
          <w:sz w:val="24"/>
          <w:szCs w:val="24"/>
        </w:rPr>
      </w:pPr>
    </w:p>
    <w:p w:rsidR="00A84F14" w:rsidRPr="00451D91" w:rsidRDefault="00BA043F" w:rsidP="006F42BD">
      <w:pPr>
        <w:pStyle w:val="Heading1"/>
      </w:pPr>
      <w:bookmarkStart w:id="7" w:name="_Toc492292888"/>
      <w:r w:rsidRPr="00451D91">
        <w:t>Implementation</w:t>
      </w:r>
      <w:bookmarkEnd w:id="7"/>
      <w:r w:rsidR="00846F45" w:rsidRPr="00451D91">
        <w:t xml:space="preserve"> </w:t>
      </w:r>
    </w:p>
    <w:p w:rsidR="00CD60AF" w:rsidRDefault="00CD60AF" w:rsidP="00CD60AF">
      <w:pPr>
        <w:rPr>
          <w:sz w:val="24"/>
          <w:szCs w:val="24"/>
        </w:rPr>
      </w:pPr>
    </w:p>
    <w:p w:rsidR="00067F51" w:rsidRDefault="00067F51" w:rsidP="00067F51">
      <w:pPr>
        <w:rPr>
          <w:sz w:val="24"/>
          <w:szCs w:val="24"/>
        </w:rPr>
      </w:pPr>
      <w:r>
        <w:rPr>
          <w:sz w:val="24"/>
          <w:szCs w:val="24"/>
        </w:rPr>
        <w:t xml:space="preserve">Containment timelines are described in detail in </w:t>
      </w:r>
      <w:r w:rsidR="00930379">
        <w:rPr>
          <w:sz w:val="24"/>
          <w:szCs w:val="24"/>
        </w:rPr>
        <w:t>GAPIII</w:t>
      </w:r>
      <w:r w:rsidR="005A2C8D">
        <w:rPr>
          <w:sz w:val="24"/>
          <w:szCs w:val="24"/>
        </w:rPr>
        <w:t xml:space="preserve"> and consist</w:t>
      </w:r>
      <w:r>
        <w:rPr>
          <w:sz w:val="24"/>
          <w:szCs w:val="24"/>
        </w:rPr>
        <w:t xml:space="preserve"> of three phases leading to the containment of all WPV/</w:t>
      </w:r>
      <w:proofErr w:type="spellStart"/>
      <w:r>
        <w:rPr>
          <w:sz w:val="24"/>
          <w:szCs w:val="24"/>
        </w:rPr>
        <w:t>cVDPV</w:t>
      </w:r>
      <w:proofErr w:type="spellEnd"/>
      <w:r>
        <w:rPr>
          <w:sz w:val="24"/>
          <w:szCs w:val="24"/>
        </w:rPr>
        <w:t>, OPV/Sabin strains, and OPV derivatives, which will occur when polio eradication is complete.</w:t>
      </w:r>
    </w:p>
    <w:p w:rsidR="0028168D" w:rsidRDefault="00067F51" w:rsidP="00CD60AF">
      <w:pPr>
        <w:rPr>
          <w:sz w:val="24"/>
          <w:szCs w:val="24"/>
        </w:rPr>
      </w:pPr>
      <w:r>
        <w:rPr>
          <w:sz w:val="24"/>
          <w:szCs w:val="24"/>
        </w:rPr>
        <w:t>PV2 containment is already in progress</w:t>
      </w:r>
      <w:r w:rsidR="00932CA0">
        <w:rPr>
          <w:sz w:val="24"/>
          <w:szCs w:val="24"/>
        </w:rPr>
        <w:t xml:space="preserve">. </w:t>
      </w:r>
      <w:r w:rsidR="00CD60AF">
        <w:rPr>
          <w:sz w:val="24"/>
          <w:szCs w:val="24"/>
        </w:rPr>
        <w:t>WP</w:t>
      </w:r>
      <w:r w:rsidR="00682952">
        <w:rPr>
          <w:sz w:val="24"/>
          <w:szCs w:val="24"/>
        </w:rPr>
        <w:t>V</w:t>
      </w:r>
      <w:r w:rsidR="00CD60AF">
        <w:rPr>
          <w:sz w:val="24"/>
          <w:szCs w:val="24"/>
        </w:rPr>
        <w:t xml:space="preserve">2 was declared eradicated by the </w:t>
      </w:r>
      <w:r w:rsidR="00682952">
        <w:rPr>
          <w:sz w:val="24"/>
          <w:szCs w:val="24"/>
        </w:rPr>
        <w:t xml:space="preserve">Global Commission for the Certification of Poliovirus Eradication </w:t>
      </w:r>
      <w:r w:rsidR="00CD60AF">
        <w:rPr>
          <w:sz w:val="24"/>
          <w:szCs w:val="24"/>
        </w:rPr>
        <w:t>in 201</w:t>
      </w:r>
      <w:r w:rsidR="00107CC7">
        <w:rPr>
          <w:sz w:val="24"/>
          <w:szCs w:val="24"/>
        </w:rPr>
        <w:t>5</w:t>
      </w:r>
      <w:r w:rsidR="004871E0">
        <w:rPr>
          <w:sz w:val="24"/>
          <w:szCs w:val="24"/>
        </w:rPr>
        <w:t>.</w:t>
      </w:r>
      <w:r w:rsidR="00CD60AF">
        <w:rPr>
          <w:sz w:val="24"/>
          <w:szCs w:val="24"/>
        </w:rPr>
        <w:t xml:space="preserve"> </w:t>
      </w:r>
      <w:r w:rsidR="00846F45">
        <w:rPr>
          <w:sz w:val="24"/>
          <w:szCs w:val="24"/>
        </w:rPr>
        <w:t>Trivalent OPV</w:t>
      </w:r>
      <w:r w:rsidR="00DD79EF">
        <w:rPr>
          <w:sz w:val="24"/>
          <w:szCs w:val="24"/>
        </w:rPr>
        <w:t xml:space="preserve"> (</w:t>
      </w:r>
      <w:r w:rsidR="00682952">
        <w:rPr>
          <w:sz w:val="24"/>
          <w:szCs w:val="24"/>
        </w:rPr>
        <w:t xml:space="preserve">types </w:t>
      </w:r>
      <w:r w:rsidR="00DD79EF">
        <w:rPr>
          <w:sz w:val="24"/>
          <w:szCs w:val="24"/>
        </w:rPr>
        <w:t xml:space="preserve">1, 2, </w:t>
      </w:r>
      <w:r w:rsidR="00682952">
        <w:rPr>
          <w:sz w:val="24"/>
          <w:szCs w:val="24"/>
        </w:rPr>
        <w:t xml:space="preserve">and </w:t>
      </w:r>
      <w:r w:rsidR="00DD79EF">
        <w:rPr>
          <w:sz w:val="24"/>
          <w:szCs w:val="24"/>
        </w:rPr>
        <w:t>3)</w:t>
      </w:r>
      <w:r w:rsidR="00846F45">
        <w:rPr>
          <w:sz w:val="24"/>
          <w:szCs w:val="24"/>
        </w:rPr>
        <w:t xml:space="preserve"> was replaced with bivalent OPV (</w:t>
      </w:r>
      <w:r w:rsidR="00682952">
        <w:rPr>
          <w:sz w:val="24"/>
          <w:szCs w:val="24"/>
        </w:rPr>
        <w:t xml:space="preserve">types </w:t>
      </w:r>
      <w:r w:rsidR="00846F45">
        <w:rPr>
          <w:sz w:val="24"/>
          <w:szCs w:val="24"/>
        </w:rPr>
        <w:t>1</w:t>
      </w:r>
      <w:r w:rsidR="00682952">
        <w:rPr>
          <w:sz w:val="24"/>
          <w:szCs w:val="24"/>
        </w:rPr>
        <w:t xml:space="preserve"> and </w:t>
      </w:r>
      <w:r w:rsidR="00DD79EF">
        <w:rPr>
          <w:sz w:val="24"/>
          <w:szCs w:val="24"/>
        </w:rPr>
        <w:t>3</w:t>
      </w:r>
      <w:r w:rsidR="00846F45">
        <w:rPr>
          <w:sz w:val="24"/>
          <w:szCs w:val="24"/>
        </w:rPr>
        <w:t xml:space="preserve">) in </w:t>
      </w:r>
      <w:r w:rsidR="00DD79EF">
        <w:rPr>
          <w:sz w:val="24"/>
          <w:szCs w:val="24"/>
        </w:rPr>
        <w:t>201</w:t>
      </w:r>
      <w:r w:rsidR="00932CA0">
        <w:rPr>
          <w:sz w:val="24"/>
          <w:szCs w:val="24"/>
        </w:rPr>
        <w:t>6</w:t>
      </w:r>
      <w:r w:rsidR="00DD79EF">
        <w:rPr>
          <w:sz w:val="24"/>
          <w:szCs w:val="24"/>
        </w:rPr>
        <w:t xml:space="preserve"> to</w:t>
      </w:r>
      <w:r w:rsidR="00846F45">
        <w:rPr>
          <w:sz w:val="24"/>
          <w:szCs w:val="24"/>
        </w:rPr>
        <w:t xml:space="preserve"> reduce the number of </w:t>
      </w:r>
      <w:r w:rsidR="00DD79EF">
        <w:rPr>
          <w:sz w:val="24"/>
          <w:szCs w:val="24"/>
        </w:rPr>
        <w:t>OPV2</w:t>
      </w:r>
      <w:r w:rsidR="00846F45">
        <w:rPr>
          <w:sz w:val="24"/>
          <w:szCs w:val="24"/>
        </w:rPr>
        <w:t>-associated paralytic poliomyelitis</w:t>
      </w:r>
      <w:r w:rsidR="00DD79EF">
        <w:rPr>
          <w:sz w:val="24"/>
          <w:szCs w:val="24"/>
        </w:rPr>
        <w:t xml:space="preserve"> cases and cVDPV</w:t>
      </w:r>
      <w:r w:rsidR="00270EB2">
        <w:rPr>
          <w:sz w:val="24"/>
          <w:szCs w:val="24"/>
        </w:rPr>
        <w:t>2</w:t>
      </w:r>
      <w:r w:rsidR="00DD79EF">
        <w:rPr>
          <w:sz w:val="24"/>
          <w:szCs w:val="24"/>
        </w:rPr>
        <w:t xml:space="preserve"> outbreaks</w:t>
      </w:r>
      <w:r w:rsidR="00270EB2">
        <w:rPr>
          <w:sz w:val="24"/>
          <w:szCs w:val="24"/>
        </w:rPr>
        <w:t>.</w:t>
      </w:r>
      <w:r w:rsidR="00FF769B">
        <w:rPr>
          <w:sz w:val="24"/>
          <w:szCs w:val="24"/>
        </w:rPr>
        <w:t xml:space="preserve"> </w:t>
      </w:r>
      <w:r w:rsidR="0028168D">
        <w:rPr>
          <w:sz w:val="24"/>
          <w:szCs w:val="24"/>
        </w:rPr>
        <w:t xml:space="preserve">PV2 is the most transmissible of the three OPV Sabin strains. </w:t>
      </w:r>
      <w:r w:rsidR="00F77729">
        <w:rPr>
          <w:sz w:val="24"/>
          <w:szCs w:val="24"/>
        </w:rPr>
        <w:t>Monovalent OPV2 has been used in supplemental immunization activities in certain countries to interrupt cVDPV2 outbreaks</w:t>
      </w:r>
      <w:r w:rsidR="0028168D">
        <w:rPr>
          <w:sz w:val="24"/>
          <w:szCs w:val="24"/>
        </w:rPr>
        <w:t xml:space="preserve"> (</w:t>
      </w:r>
      <w:r w:rsidR="00DB123C">
        <w:rPr>
          <w:sz w:val="24"/>
          <w:szCs w:val="24"/>
        </w:rPr>
        <w:t>Annex 4</w:t>
      </w:r>
      <w:r w:rsidR="0028168D">
        <w:rPr>
          <w:sz w:val="24"/>
          <w:szCs w:val="24"/>
        </w:rPr>
        <w:t>)</w:t>
      </w:r>
      <w:r w:rsidR="00F77729">
        <w:rPr>
          <w:sz w:val="24"/>
          <w:szCs w:val="24"/>
        </w:rPr>
        <w:t xml:space="preserve">. </w:t>
      </w:r>
      <w:r w:rsidR="00F942D4">
        <w:rPr>
          <w:sz w:val="24"/>
          <w:szCs w:val="24"/>
        </w:rPr>
        <w:t>At the time of trivalent OPV withdrawal, i</w:t>
      </w:r>
      <w:r w:rsidR="0028168D">
        <w:rPr>
          <w:sz w:val="24"/>
          <w:szCs w:val="24"/>
        </w:rPr>
        <w:t xml:space="preserve">nactivated poliovirus vaccine (IPV) </w:t>
      </w:r>
      <w:r w:rsidR="00F942D4">
        <w:rPr>
          <w:sz w:val="24"/>
          <w:szCs w:val="24"/>
        </w:rPr>
        <w:t xml:space="preserve">was </w:t>
      </w:r>
      <w:r w:rsidR="0028168D">
        <w:rPr>
          <w:sz w:val="24"/>
          <w:szCs w:val="24"/>
        </w:rPr>
        <w:t xml:space="preserve">introduced in routine immunization </w:t>
      </w:r>
      <w:proofErr w:type="spellStart"/>
      <w:r w:rsidR="0028168D">
        <w:rPr>
          <w:sz w:val="24"/>
          <w:szCs w:val="24"/>
        </w:rPr>
        <w:t>program</w:t>
      </w:r>
      <w:r w:rsidR="00B55334">
        <w:rPr>
          <w:sz w:val="24"/>
          <w:szCs w:val="24"/>
        </w:rPr>
        <w:t>me</w:t>
      </w:r>
      <w:r w:rsidR="0028168D">
        <w:rPr>
          <w:sz w:val="24"/>
          <w:szCs w:val="24"/>
        </w:rPr>
        <w:t>s</w:t>
      </w:r>
      <w:proofErr w:type="spellEnd"/>
      <w:r w:rsidR="0028168D">
        <w:rPr>
          <w:sz w:val="24"/>
          <w:szCs w:val="24"/>
        </w:rPr>
        <w:t xml:space="preserve"> in </w:t>
      </w:r>
      <w:r w:rsidR="00F942D4">
        <w:rPr>
          <w:sz w:val="24"/>
          <w:szCs w:val="24"/>
        </w:rPr>
        <w:t>select</w:t>
      </w:r>
      <w:r w:rsidR="0028168D">
        <w:rPr>
          <w:sz w:val="24"/>
          <w:szCs w:val="24"/>
        </w:rPr>
        <w:t xml:space="preserve"> </w:t>
      </w:r>
      <w:r w:rsidR="00682952">
        <w:rPr>
          <w:sz w:val="24"/>
          <w:szCs w:val="24"/>
        </w:rPr>
        <w:t>high-</w:t>
      </w:r>
      <w:r w:rsidR="0028168D">
        <w:rPr>
          <w:sz w:val="24"/>
          <w:szCs w:val="24"/>
        </w:rPr>
        <w:t xml:space="preserve">risk countries to </w:t>
      </w:r>
      <w:r w:rsidR="00323F5F">
        <w:rPr>
          <w:sz w:val="24"/>
          <w:szCs w:val="24"/>
        </w:rPr>
        <w:t>maintain immunity for poliovirus type 2</w:t>
      </w:r>
      <w:r w:rsidR="0028168D">
        <w:rPr>
          <w:sz w:val="24"/>
          <w:szCs w:val="24"/>
        </w:rPr>
        <w:t xml:space="preserve">. </w:t>
      </w:r>
      <w:r w:rsidR="00270EB2">
        <w:rPr>
          <w:sz w:val="24"/>
          <w:szCs w:val="24"/>
        </w:rPr>
        <w:t>As a consequence of these actions:</w:t>
      </w:r>
    </w:p>
    <w:p w:rsidR="003621CE" w:rsidRDefault="00B55334" w:rsidP="00CD60AF">
      <w:pPr>
        <w:rPr>
          <w:sz w:val="24"/>
          <w:szCs w:val="24"/>
        </w:rPr>
      </w:pPr>
      <w:proofErr w:type="gramStart"/>
      <w:r>
        <w:rPr>
          <w:sz w:val="24"/>
          <w:szCs w:val="24"/>
        </w:rPr>
        <w:t>Phase</w:t>
      </w:r>
      <w:proofErr w:type="gramEnd"/>
      <w:r>
        <w:rPr>
          <w:sz w:val="24"/>
          <w:szCs w:val="24"/>
        </w:rPr>
        <w:t xml:space="preserve"> I</w:t>
      </w:r>
      <w:r w:rsidR="004422BE">
        <w:rPr>
          <w:sz w:val="24"/>
          <w:szCs w:val="24"/>
        </w:rPr>
        <w:t>, the</w:t>
      </w:r>
      <w:r w:rsidR="00BA043F">
        <w:rPr>
          <w:sz w:val="24"/>
          <w:szCs w:val="24"/>
        </w:rPr>
        <w:t xml:space="preserve"> </w:t>
      </w:r>
      <w:r w:rsidR="002C3211">
        <w:rPr>
          <w:sz w:val="24"/>
          <w:szCs w:val="24"/>
        </w:rPr>
        <w:t>i</w:t>
      </w:r>
      <w:r w:rsidR="00682952">
        <w:rPr>
          <w:sz w:val="24"/>
          <w:szCs w:val="24"/>
        </w:rPr>
        <w:t>nventory</w:t>
      </w:r>
      <w:r w:rsidR="0028168D">
        <w:rPr>
          <w:sz w:val="24"/>
          <w:szCs w:val="24"/>
        </w:rPr>
        <w:t xml:space="preserve">, destruction, </w:t>
      </w:r>
      <w:r w:rsidR="00BA043F">
        <w:rPr>
          <w:sz w:val="24"/>
          <w:szCs w:val="24"/>
        </w:rPr>
        <w:t xml:space="preserve">and </w:t>
      </w:r>
      <w:r w:rsidR="0028168D">
        <w:rPr>
          <w:sz w:val="24"/>
          <w:szCs w:val="24"/>
        </w:rPr>
        <w:t>preparation for PV2 containment</w:t>
      </w:r>
      <w:r w:rsidR="004422BE">
        <w:rPr>
          <w:sz w:val="24"/>
          <w:szCs w:val="24"/>
        </w:rPr>
        <w:t>,</w:t>
      </w:r>
      <w:r w:rsidR="003621CE">
        <w:rPr>
          <w:sz w:val="24"/>
          <w:szCs w:val="24"/>
        </w:rPr>
        <w:t xml:space="preserve"> is nearing completion for PV facilities/laboratories</w:t>
      </w:r>
      <w:r w:rsidR="0028168D">
        <w:rPr>
          <w:sz w:val="24"/>
          <w:szCs w:val="24"/>
        </w:rPr>
        <w:t xml:space="preserve">. </w:t>
      </w:r>
    </w:p>
    <w:p w:rsidR="00EF22B5" w:rsidRDefault="00B55334" w:rsidP="00CD60AF">
      <w:pPr>
        <w:rPr>
          <w:sz w:val="24"/>
          <w:szCs w:val="24"/>
        </w:rPr>
      </w:pPr>
      <w:r>
        <w:rPr>
          <w:sz w:val="24"/>
          <w:szCs w:val="24"/>
        </w:rPr>
        <w:lastRenderedPageBreak/>
        <w:t>Phase II</w:t>
      </w:r>
      <w:r w:rsidR="004422BE">
        <w:rPr>
          <w:sz w:val="24"/>
          <w:szCs w:val="24"/>
        </w:rPr>
        <w:t>, c</w:t>
      </w:r>
      <w:r w:rsidR="003621CE">
        <w:rPr>
          <w:sz w:val="24"/>
          <w:szCs w:val="24"/>
        </w:rPr>
        <w:t xml:space="preserve">ontainment </w:t>
      </w:r>
      <w:r w:rsidR="00270EB2">
        <w:rPr>
          <w:sz w:val="24"/>
          <w:szCs w:val="24"/>
        </w:rPr>
        <w:t>of</w:t>
      </w:r>
      <w:r w:rsidR="003621CE">
        <w:rPr>
          <w:sz w:val="24"/>
          <w:szCs w:val="24"/>
        </w:rPr>
        <w:t xml:space="preserve"> WPV2</w:t>
      </w:r>
      <w:r w:rsidR="00682952">
        <w:rPr>
          <w:sz w:val="24"/>
          <w:szCs w:val="24"/>
        </w:rPr>
        <w:t>/VDPV2</w:t>
      </w:r>
      <w:r w:rsidR="00EF22B5">
        <w:rPr>
          <w:sz w:val="24"/>
          <w:szCs w:val="24"/>
        </w:rPr>
        <w:t xml:space="preserve"> and OPV2/Sabin strains</w:t>
      </w:r>
      <w:r w:rsidR="004422BE">
        <w:rPr>
          <w:sz w:val="24"/>
          <w:szCs w:val="24"/>
        </w:rPr>
        <w:t xml:space="preserve"> in PV facilities/laboratories</w:t>
      </w:r>
      <w:r w:rsidR="00DB123C">
        <w:rPr>
          <w:sz w:val="24"/>
          <w:szCs w:val="24"/>
        </w:rPr>
        <w:t>,</w:t>
      </w:r>
      <w:r w:rsidR="00270EB2">
        <w:rPr>
          <w:sz w:val="24"/>
          <w:szCs w:val="24"/>
        </w:rPr>
        <w:t xml:space="preserve"> </w:t>
      </w:r>
      <w:r w:rsidR="004422BE">
        <w:rPr>
          <w:sz w:val="24"/>
          <w:szCs w:val="24"/>
        </w:rPr>
        <w:t>is in progress</w:t>
      </w:r>
      <w:r w:rsidR="00270EB2">
        <w:rPr>
          <w:sz w:val="24"/>
          <w:szCs w:val="24"/>
        </w:rPr>
        <w:t>.</w:t>
      </w:r>
      <w:r w:rsidR="00EF22B5">
        <w:rPr>
          <w:sz w:val="24"/>
          <w:szCs w:val="24"/>
        </w:rPr>
        <w:t xml:space="preserve"> </w:t>
      </w:r>
    </w:p>
    <w:p w:rsidR="0042155B" w:rsidRDefault="00270EB2" w:rsidP="00CD60AF">
      <w:pPr>
        <w:rPr>
          <w:i/>
          <w:sz w:val="24"/>
          <w:szCs w:val="24"/>
        </w:rPr>
      </w:pPr>
      <w:r w:rsidRPr="00645555">
        <w:rPr>
          <w:i/>
          <w:sz w:val="24"/>
          <w:szCs w:val="24"/>
        </w:rPr>
        <w:t xml:space="preserve">Implementation of risk reduction actions </w:t>
      </w:r>
      <w:r w:rsidR="004862E0" w:rsidRPr="00645555">
        <w:rPr>
          <w:i/>
          <w:sz w:val="24"/>
          <w:szCs w:val="24"/>
        </w:rPr>
        <w:t xml:space="preserve">by non-PV facilities/laboratories for PIM with PV2 potential is a matter of urgency. </w:t>
      </w:r>
    </w:p>
    <w:p w:rsidR="00186AD4" w:rsidRPr="00715A01" w:rsidRDefault="00B55334" w:rsidP="00186AD4">
      <w:pPr>
        <w:rPr>
          <w:sz w:val="24"/>
          <w:szCs w:val="24"/>
        </w:rPr>
      </w:pPr>
      <w:r>
        <w:rPr>
          <w:sz w:val="24"/>
          <w:szCs w:val="24"/>
        </w:rPr>
        <w:t>Phase III</w:t>
      </w:r>
      <w:r w:rsidR="00186AD4">
        <w:rPr>
          <w:sz w:val="24"/>
          <w:szCs w:val="24"/>
        </w:rPr>
        <w:t xml:space="preserve">, final containment of all WPV and OPV/Sabin polioviruses will commence when global WPV transmission has not been detected for three years followed by the planned cessation of </w:t>
      </w:r>
      <w:proofErr w:type="spellStart"/>
      <w:r w:rsidR="00186AD4">
        <w:rPr>
          <w:sz w:val="24"/>
          <w:szCs w:val="24"/>
        </w:rPr>
        <w:t>bOPV</w:t>
      </w:r>
      <w:proofErr w:type="spellEnd"/>
      <w:r w:rsidR="00186AD4">
        <w:rPr>
          <w:sz w:val="24"/>
          <w:szCs w:val="24"/>
        </w:rPr>
        <w:t xml:space="preserve"> usage, respectively. </w:t>
      </w:r>
    </w:p>
    <w:p w:rsidR="00186AD4" w:rsidRPr="00602C97" w:rsidRDefault="00186AD4" w:rsidP="00CD60AF">
      <w:pPr>
        <w:rPr>
          <w:sz w:val="24"/>
          <w:szCs w:val="24"/>
        </w:rPr>
      </w:pPr>
    </w:p>
    <w:p w:rsidR="00967DCB" w:rsidRPr="00FF1824" w:rsidRDefault="002303B0" w:rsidP="006F42BD">
      <w:pPr>
        <w:pStyle w:val="Heading1"/>
        <w:rPr>
          <w:sz w:val="24"/>
          <w:szCs w:val="24"/>
        </w:rPr>
      </w:pPr>
      <w:bookmarkStart w:id="8" w:name="_Toc492292889"/>
      <w:r>
        <w:t>C</w:t>
      </w:r>
      <w:r w:rsidR="00967DCB" w:rsidRPr="00626497">
        <w:t xml:space="preserve">ategorization of </w:t>
      </w:r>
      <w:r w:rsidR="008C49BA">
        <w:t xml:space="preserve">poliovirus </w:t>
      </w:r>
      <w:r w:rsidR="00967DCB" w:rsidRPr="00626497">
        <w:t>potentially infectious materials</w:t>
      </w:r>
      <w:r>
        <w:t xml:space="preserve"> according to risk</w:t>
      </w:r>
      <w:bookmarkEnd w:id="8"/>
    </w:p>
    <w:p w:rsidR="006F42BD" w:rsidRDefault="006F42BD" w:rsidP="00334B9C">
      <w:pPr>
        <w:rPr>
          <w:sz w:val="24"/>
          <w:szCs w:val="24"/>
        </w:rPr>
      </w:pPr>
    </w:p>
    <w:p w:rsidR="00334B9C" w:rsidRDefault="00334B9C" w:rsidP="00334B9C">
      <w:pPr>
        <w:rPr>
          <w:sz w:val="24"/>
          <w:szCs w:val="24"/>
        </w:rPr>
      </w:pPr>
      <w:r>
        <w:rPr>
          <w:sz w:val="24"/>
          <w:szCs w:val="24"/>
        </w:rPr>
        <w:t xml:space="preserve">The evidence-based rationale for categorizing sample collections according to relative risks is </w:t>
      </w:r>
      <w:r w:rsidR="00EB339D">
        <w:rPr>
          <w:sz w:val="24"/>
          <w:szCs w:val="24"/>
        </w:rPr>
        <w:t xml:space="preserve">derived from data </w:t>
      </w:r>
      <w:r>
        <w:rPr>
          <w:sz w:val="24"/>
          <w:szCs w:val="24"/>
        </w:rPr>
        <w:t xml:space="preserve">provided in </w:t>
      </w:r>
      <w:r w:rsidR="00010ED3" w:rsidRPr="00010ED3">
        <w:rPr>
          <w:i/>
          <w:sz w:val="24"/>
          <w:szCs w:val="24"/>
        </w:rPr>
        <w:t>Rationale</w:t>
      </w:r>
      <w:r w:rsidR="00B55334">
        <w:rPr>
          <w:i/>
          <w:sz w:val="24"/>
          <w:szCs w:val="24"/>
        </w:rPr>
        <w:t>,</w:t>
      </w:r>
      <w:r w:rsidR="00544767">
        <w:rPr>
          <w:sz w:val="24"/>
          <w:szCs w:val="24"/>
        </w:rPr>
        <w:t xml:space="preserve"> </w:t>
      </w:r>
      <w:r w:rsidRPr="00FF1824">
        <w:rPr>
          <w:sz w:val="24"/>
          <w:szCs w:val="24"/>
        </w:rPr>
        <w:t xml:space="preserve">Annex 1 </w:t>
      </w:r>
      <w:r>
        <w:rPr>
          <w:sz w:val="24"/>
          <w:szCs w:val="24"/>
        </w:rPr>
        <w:t>(</w:t>
      </w:r>
      <w:r w:rsidRPr="00FF1824">
        <w:rPr>
          <w:i/>
          <w:sz w:val="24"/>
          <w:szCs w:val="24"/>
        </w:rPr>
        <w:t xml:space="preserve">Risk assessment for categorization of </w:t>
      </w:r>
      <w:r w:rsidR="008C49BA">
        <w:rPr>
          <w:i/>
          <w:sz w:val="24"/>
          <w:szCs w:val="24"/>
        </w:rPr>
        <w:t xml:space="preserve">poliovirus </w:t>
      </w:r>
      <w:r w:rsidRPr="00FF1824">
        <w:rPr>
          <w:i/>
          <w:sz w:val="24"/>
          <w:szCs w:val="24"/>
        </w:rPr>
        <w:t>potentially infectious materials</w:t>
      </w:r>
      <w:r>
        <w:rPr>
          <w:sz w:val="24"/>
          <w:szCs w:val="24"/>
        </w:rPr>
        <w:t>)</w:t>
      </w:r>
      <w:r w:rsidR="001734EB">
        <w:rPr>
          <w:sz w:val="24"/>
          <w:szCs w:val="24"/>
        </w:rPr>
        <w:t xml:space="preserve"> and Annex 3 (</w:t>
      </w:r>
      <w:r w:rsidR="001734EB" w:rsidRPr="00602C97">
        <w:rPr>
          <w:i/>
          <w:sz w:val="24"/>
          <w:szCs w:val="24"/>
        </w:rPr>
        <w:t>Country and Territory-specific poliovirus risk</w:t>
      </w:r>
      <w:r w:rsidR="001734EB">
        <w:rPr>
          <w:sz w:val="24"/>
          <w:szCs w:val="24"/>
        </w:rPr>
        <w:t>)</w:t>
      </w:r>
      <w:r w:rsidR="00B55334">
        <w:rPr>
          <w:sz w:val="24"/>
          <w:szCs w:val="24"/>
        </w:rPr>
        <w:t xml:space="preserve">. </w:t>
      </w:r>
    </w:p>
    <w:p w:rsidR="00111EC0" w:rsidRDefault="00AE7DD0" w:rsidP="007C0455">
      <w:pPr>
        <w:rPr>
          <w:sz w:val="24"/>
          <w:szCs w:val="24"/>
        </w:rPr>
      </w:pPr>
      <w:r>
        <w:rPr>
          <w:sz w:val="24"/>
          <w:szCs w:val="24"/>
        </w:rPr>
        <w:t>The PV transmission risk of a PIM collection is a factor of multiple elements including nature of the sample collection (when, where, and what collected), the PV(s) that may be present (WPV/</w:t>
      </w:r>
      <w:proofErr w:type="spellStart"/>
      <w:r>
        <w:rPr>
          <w:sz w:val="24"/>
          <w:szCs w:val="24"/>
        </w:rPr>
        <w:t>cVDPV</w:t>
      </w:r>
      <w:proofErr w:type="spellEnd"/>
      <w:r>
        <w:rPr>
          <w:sz w:val="24"/>
          <w:szCs w:val="24"/>
        </w:rPr>
        <w:t xml:space="preserve"> or OPV/Sabin), hazards of </w:t>
      </w:r>
      <w:r w:rsidR="00334B9C">
        <w:rPr>
          <w:sz w:val="24"/>
          <w:szCs w:val="24"/>
        </w:rPr>
        <w:t xml:space="preserve">the </w:t>
      </w:r>
      <w:r>
        <w:rPr>
          <w:sz w:val="24"/>
          <w:szCs w:val="24"/>
        </w:rPr>
        <w:t xml:space="preserve">laboratory procedures </w:t>
      </w:r>
      <w:r w:rsidR="005D70F6">
        <w:rPr>
          <w:sz w:val="24"/>
          <w:szCs w:val="24"/>
        </w:rPr>
        <w:t xml:space="preserve">being </w:t>
      </w:r>
      <w:r>
        <w:rPr>
          <w:sz w:val="24"/>
          <w:szCs w:val="24"/>
        </w:rPr>
        <w:t>used, and worker/community susceptibility</w:t>
      </w:r>
      <w:r w:rsidR="001734EB">
        <w:rPr>
          <w:sz w:val="24"/>
          <w:szCs w:val="24"/>
        </w:rPr>
        <w:t xml:space="preserve"> (Annexes 1 and 3)</w:t>
      </w:r>
      <w:r>
        <w:rPr>
          <w:sz w:val="24"/>
          <w:szCs w:val="24"/>
        </w:rPr>
        <w:t xml:space="preserve">. </w:t>
      </w:r>
    </w:p>
    <w:p w:rsidR="00477A7C" w:rsidRDefault="00111EC0" w:rsidP="00477A7C">
      <w:pPr>
        <w:rPr>
          <w:sz w:val="24"/>
          <w:szCs w:val="24"/>
        </w:rPr>
      </w:pPr>
      <w:r>
        <w:rPr>
          <w:sz w:val="24"/>
          <w:szCs w:val="24"/>
        </w:rPr>
        <w:t xml:space="preserve">PIM </w:t>
      </w:r>
      <w:r w:rsidR="00F040B0">
        <w:rPr>
          <w:sz w:val="24"/>
          <w:szCs w:val="24"/>
        </w:rPr>
        <w:t xml:space="preserve">sample collections </w:t>
      </w:r>
      <w:r w:rsidR="00C54031">
        <w:rPr>
          <w:sz w:val="24"/>
          <w:szCs w:val="24"/>
        </w:rPr>
        <w:t xml:space="preserve">may be categorized </w:t>
      </w:r>
      <w:r w:rsidR="00690212">
        <w:rPr>
          <w:sz w:val="24"/>
          <w:szCs w:val="24"/>
        </w:rPr>
        <w:t xml:space="preserve">in one of </w:t>
      </w:r>
      <w:r w:rsidR="0091727D">
        <w:rPr>
          <w:sz w:val="24"/>
          <w:szCs w:val="24"/>
        </w:rPr>
        <w:t xml:space="preserve">two </w:t>
      </w:r>
      <w:r w:rsidR="005D70F6">
        <w:rPr>
          <w:sz w:val="24"/>
          <w:szCs w:val="24"/>
        </w:rPr>
        <w:t xml:space="preserve">divergent </w:t>
      </w:r>
      <w:r w:rsidR="00EB339D">
        <w:rPr>
          <w:sz w:val="24"/>
          <w:szCs w:val="24"/>
        </w:rPr>
        <w:t xml:space="preserve">risk </w:t>
      </w:r>
      <w:r w:rsidR="0091727D">
        <w:rPr>
          <w:sz w:val="24"/>
          <w:szCs w:val="24"/>
        </w:rPr>
        <w:t>groups</w:t>
      </w:r>
      <w:r w:rsidR="005D70F6">
        <w:rPr>
          <w:sz w:val="24"/>
          <w:szCs w:val="24"/>
        </w:rPr>
        <w:t xml:space="preserve"> based on</w:t>
      </w:r>
      <w:r w:rsidR="00334B9C">
        <w:rPr>
          <w:sz w:val="24"/>
          <w:szCs w:val="24"/>
        </w:rPr>
        <w:t xml:space="preserve"> PV </w:t>
      </w:r>
      <w:r w:rsidR="005D70F6">
        <w:rPr>
          <w:sz w:val="24"/>
          <w:szCs w:val="24"/>
        </w:rPr>
        <w:t>virulence and transmissibility</w:t>
      </w:r>
      <w:r w:rsidR="000E0DBF">
        <w:rPr>
          <w:sz w:val="24"/>
          <w:szCs w:val="24"/>
        </w:rPr>
        <w:t xml:space="preserve"> (Annex 1)</w:t>
      </w:r>
      <w:r w:rsidR="005D70F6">
        <w:rPr>
          <w:sz w:val="24"/>
          <w:szCs w:val="24"/>
        </w:rPr>
        <w:t>. Of greatest risk are collections with</w:t>
      </w:r>
      <w:r w:rsidR="00B11E6B">
        <w:rPr>
          <w:sz w:val="24"/>
          <w:szCs w:val="24"/>
        </w:rPr>
        <w:t xml:space="preserve"> </w:t>
      </w:r>
      <w:r w:rsidR="005D70F6">
        <w:rPr>
          <w:sz w:val="24"/>
          <w:szCs w:val="24"/>
        </w:rPr>
        <w:t xml:space="preserve">potential for </w:t>
      </w:r>
      <w:r w:rsidR="00B11E6B">
        <w:rPr>
          <w:sz w:val="24"/>
          <w:szCs w:val="24"/>
        </w:rPr>
        <w:t>WPV/</w:t>
      </w:r>
      <w:proofErr w:type="spellStart"/>
      <w:r w:rsidR="00B11E6B">
        <w:rPr>
          <w:sz w:val="24"/>
          <w:szCs w:val="24"/>
        </w:rPr>
        <w:t>cVDPV</w:t>
      </w:r>
      <w:proofErr w:type="spellEnd"/>
      <w:r w:rsidR="00477A7C">
        <w:rPr>
          <w:sz w:val="24"/>
          <w:szCs w:val="24"/>
        </w:rPr>
        <w:t>, which are</w:t>
      </w:r>
      <w:r w:rsidR="00420F7E">
        <w:rPr>
          <w:sz w:val="24"/>
          <w:szCs w:val="24"/>
        </w:rPr>
        <w:t xml:space="preserve"> the</w:t>
      </w:r>
      <w:r w:rsidR="00477A7C">
        <w:rPr>
          <w:sz w:val="24"/>
          <w:szCs w:val="24"/>
        </w:rPr>
        <w:t xml:space="preserve"> target viruses of the polio eradication initiative.</w:t>
      </w:r>
      <w:r w:rsidR="005D70F6">
        <w:rPr>
          <w:sz w:val="24"/>
          <w:szCs w:val="24"/>
        </w:rPr>
        <w:t xml:space="preserve"> Of lower risk are collections with potential for </w:t>
      </w:r>
      <w:r w:rsidR="008F4B97">
        <w:rPr>
          <w:sz w:val="24"/>
          <w:szCs w:val="24"/>
        </w:rPr>
        <w:t xml:space="preserve">only </w:t>
      </w:r>
      <w:r w:rsidR="00B11E6B">
        <w:rPr>
          <w:sz w:val="24"/>
          <w:szCs w:val="24"/>
        </w:rPr>
        <w:t xml:space="preserve">OPV/Sabin </w:t>
      </w:r>
      <w:r w:rsidR="008F4B97">
        <w:rPr>
          <w:sz w:val="24"/>
          <w:szCs w:val="24"/>
        </w:rPr>
        <w:t xml:space="preserve">and related </w:t>
      </w:r>
      <w:r w:rsidR="00B11E6B">
        <w:rPr>
          <w:sz w:val="24"/>
          <w:szCs w:val="24"/>
        </w:rPr>
        <w:t>strains</w:t>
      </w:r>
      <w:r>
        <w:rPr>
          <w:sz w:val="24"/>
          <w:szCs w:val="24"/>
        </w:rPr>
        <w:t xml:space="preserve">, </w:t>
      </w:r>
      <w:r w:rsidR="00420F7E">
        <w:rPr>
          <w:sz w:val="24"/>
          <w:szCs w:val="24"/>
        </w:rPr>
        <w:t>which</w:t>
      </w:r>
      <w:r w:rsidR="00477A7C">
        <w:rPr>
          <w:sz w:val="24"/>
          <w:szCs w:val="24"/>
        </w:rPr>
        <w:t xml:space="preserve"> have been used for immunization of untold numbers of children for more than 50 years. </w:t>
      </w:r>
    </w:p>
    <w:p w:rsidR="005731A0" w:rsidRDefault="005731A0" w:rsidP="005731A0">
      <w:pPr>
        <w:rPr>
          <w:sz w:val="24"/>
          <w:szCs w:val="24"/>
        </w:rPr>
      </w:pPr>
      <w:r>
        <w:rPr>
          <w:sz w:val="24"/>
          <w:szCs w:val="24"/>
        </w:rPr>
        <w:t xml:space="preserve">Despite the OPV safety record, all three attenuated PV types </w:t>
      </w:r>
      <w:r w:rsidR="00AF75EA">
        <w:rPr>
          <w:sz w:val="24"/>
          <w:szCs w:val="24"/>
        </w:rPr>
        <w:t xml:space="preserve">in the vaccine </w:t>
      </w:r>
      <w:r>
        <w:rPr>
          <w:sz w:val="24"/>
          <w:szCs w:val="24"/>
        </w:rPr>
        <w:t xml:space="preserve">have been </w:t>
      </w:r>
      <w:r w:rsidR="00DC6115">
        <w:rPr>
          <w:sz w:val="24"/>
          <w:szCs w:val="24"/>
        </w:rPr>
        <w:t>linked</w:t>
      </w:r>
      <w:r>
        <w:rPr>
          <w:sz w:val="24"/>
          <w:szCs w:val="24"/>
        </w:rPr>
        <w:t xml:space="preserve"> with rare vaccine-associated paralytic poliomyelitis.  Further, under certain conditions of low immunization rates of populations in </w:t>
      </w:r>
      <w:r w:rsidR="00A950E7">
        <w:rPr>
          <w:sz w:val="24"/>
          <w:szCs w:val="24"/>
        </w:rPr>
        <w:t>high-</w:t>
      </w:r>
      <w:r>
        <w:rPr>
          <w:sz w:val="24"/>
          <w:szCs w:val="24"/>
        </w:rPr>
        <w:t xml:space="preserve">risk environments, </w:t>
      </w:r>
      <w:r w:rsidRPr="00657541">
        <w:rPr>
          <w:sz w:val="24"/>
          <w:szCs w:val="24"/>
        </w:rPr>
        <w:t>p</w:t>
      </w:r>
      <w:r w:rsidRPr="00602C97">
        <w:rPr>
          <w:sz w:val="24"/>
          <w:szCs w:val="24"/>
        </w:rPr>
        <w:t>rolonged replication of OPV/Sabin poliovirus can lead to a loss of attenuation</w:t>
      </w:r>
      <w:r w:rsidR="00D12AF2">
        <w:rPr>
          <w:sz w:val="24"/>
          <w:szCs w:val="24"/>
        </w:rPr>
        <w:t>,</w:t>
      </w:r>
      <w:r w:rsidRPr="00602C97">
        <w:rPr>
          <w:sz w:val="24"/>
          <w:szCs w:val="24"/>
        </w:rPr>
        <w:t xml:space="preserve"> to produce circulating </w:t>
      </w:r>
      <w:r w:rsidR="00A950E7" w:rsidRPr="00602C97">
        <w:rPr>
          <w:sz w:val="24"/>
          <w:szCs w:val="24"/>
        </w:rPr>
        <w:t>vaccine-</w:t>
      </w:r>
      <w:r w:rsidRPr="00602C97">
        <w:rPr>
          <w:sz w:val="24"/>
          <w:szCs w:val="24"/>
        </w:rPr>
        <w:t>derived poliovirus (</w:t>
      </w:r>
      <w:proofErr w:type="spellStart"/>
      <w:r w:rsidR="00687A86" w:rsidRPr="00602C97">
        <w:rPr>
          <w:sz w:val="24"/>
          <w:szCs w:val="24"/>
        </w:rPr>
        <w:t>c</w:t>
      </w:r>
      <w:r w:rsidRPr="00602C97">
        <w:rPr>
          <w:sz w:val="24"/>
          <w:szCs w:val="24"/>
        </w:rPr>
        <w:t>VDPV</w:t>
      </w:r>
      <w:proofErr w:type="spellEnd"/>
      <w:r w:rsidRPr="00602C97">
        <w:rPr>
          <w:sz w:val="24"/>
          <w:szCs w:val="24"/>
        </w:rPr>
        <w:t>)</w:t>
      </w:r>
      <w:r w:rsidR="00DC6115">
        <w:t xml:space="preserve"> </w:t>
      </w:r>
      <w:r>
        <w:rPr>
          <w:sz w:val="24"/>
          <w:szCs w:val="24"/>
        </w:rPr>
        <w:t>(Annex</w:t>
      </w:r>
      <w:r w:rsidR="00010ED3">
        <w:rPr>
          <w:sz w:val="24"/>
          <w:szCs w:val="24"/>
        </w:rPr>
        <w:t xml:space="preserve"> </w:t>
      </w:r>
      <w:r w:rsidR="000E0DBF">
        <w:rPr>
          <w:sz w:val="24"/>
          <w:szCs w:val="24"/>
        </w:rPr>
        <w:t>1</w:t>
      </w:r>
      <w:r>
        <w:rPr>
          <w:sz w:val="24"/>
          <w:szCs w:val="24"/>
        </w:rPr>
        <w:t>).</w:t>
      </w:r>
      <w:r w:rsidR="008C76F7">
        <w:rPr>
          <w:sz w:val="24"/>
          <w:szCs w:val="24"/>
        </w:rPr>
        <w:t xml:space="preserve"> </w:t>
      </w:r>
      <w:proofErr w:type="spellStart"/>
      <w:r w:rsidR="00DC6115" w:rsidRPr="00A86FA6">
        <w:rPr>
          <w:sz w:val="24"/>
          <w:szCs w:val="24"/>
        </w:rPr>
        <w:t>cVDPVs</w:t>
      </w:r>
      <w:proofErr w:type="spellEnd"/>
      <w:r w:rsidR="00DC6115" w:rsidRPr="00A86FA6">
        <w:rPr>
          <w:sz w:val="24"/>
          <w:szCs w:val="24"/>
        </w:rPr>
        <w:t xml:space="preserve"> pose a public health threat</w:t>
      </w:r>
      <w:r w:rsidR="00D12AF2">
        <w:rPr>
          <w:sz w:val="24"/>
          <w:szCs w:val="24"/>
        </w:rPr>
        <w:t>,</w:t>
      </w:r>
      <w:r w:rsidR="00DC6115" w:rsidRPr="00A86FA6">
        <w:rPr>
          <w:sz w:val="24"/>
          <w:szCs w:val="24"/>
        </w:rPr>
        <w:t xml:space="preserve"> as outbreaks of paralytic poliomyelitis that clinically were indistinguishable from wild poliovirus infection have occurred due to each poliovirus serotype</w:t>
      </w:r>
      <w:r w:rsidR="007E6C34" w:rsidRPr="00A86FA6">
        <w:rPr>
          <w:sz w:val="24"/>
          <w:szCs w:val="24"/>
        </w:rPr>
        <w:t>,</w:t>
      </w:r>
      <w:r w:rsidR="00DC6115" w:rsidRPr="00A86FA6">
        <w:rPr>
          <w:sz w:val="24"/>
          <w:szCs w:val="24"/>
        </w:rPr>
        <w:t xml:space="preserve"> with &gt;80% of </w:t>
      </w:r>
      <w:proofErr w:type="spellStart"/>
      <w:r w:rsidR="00DC6115" w:rsidRPr="00A86FA6">
        <w:rPr>
          <w:sz w:val="24"/>
          <w:szCs w:val="24"/>
        </w:rPr>
        <w:t>cVDPV</w:t>
      </w:r>
      <w:proofErr w:type="spellEnd"/>
      <w:r w:rsidR="00DC6115" w:rsidRPr="00A86FA6">
        <w:rPr>
          <w:sz w:val="24"/>
          <w:szCs w:val="24"/>
        </w:rPr>
        <w:t xml:space="preserve"> outbreaks associated with type 2. </w:t>
      </w:r>
      <w:r w:rsidR="008C76F7" w:rsidRPr="00A86FA6">
        <w:rPr>
          <w:sz w:val="24"/>
          <w:szCs w:val="24"/>
        </w:rPr>
        <w:t xml:space="preserve">People with </w:t>
      </w:r>
      <w:r w:rsidR="00DC6115" w:rsidRPr="00A86FA6">
        <w:rPr>
          <w:sz w:val="24"/>
          <w:szCs w:val="24"/>
        </w:rPr>
        <w:t xml:space="preserve">primary B-cell </w:t>
      </w:r>
      <w:proofErr w:type="spellStart"/>
      <w:r w:rsidR="00DC6115" w:rsidRPr="00A86FA6">
        <w:rPr>
          <w:sz w:val="24"/>
          <w:szCs w:val="24"/>
        </w:rPr>
        <w:t>immunodeficiencies</w:t>
      </w:r>
      <w:proofErr w:type="spellEnd"/>
      <w:r w:rsidR="00DC6115" w:rsidRPr="00A86FA6">
        <w:rPr>
          <w:sz w:val="24"/>
          <w:szCs w:val="24"/>
        </w:rPr>
        <w:t xml:space="preserve"> exposed to OPV can develop a chronic poliovirus infection leading to immunodeficiency-associated VDPV (</w:t>
      </w:r>
      <w:proofErr w:type="spellStart"/>
      <w:r w:rsidR="00DC6115" w:rsidRPr="00A86FA6">
        <w:rPr>
          <w:sz w:val="24"/>
          <w:szCs w:val="24"/>
        </w:rPr>
        <w:t>iVDPV</w:t>
      </w:r>
      <w:proofErr w:type="spellEnd"/>
      <w:r w:rsidR="00DC6115" w:rsidRPr="00A86FA6">
        <w:rPr>
          <w:sz w:val="24"/>
          <w:szCs w:val="24"/>
        </w:rPr>
        <w:t xml:space="preserve">). </w:t>
      </w:r>
      <w:r w:rsidR="00010ED3" w:rsidRPr="00A86FA6">
        <w:rPr>
          <w:sz w:val="24"/>
          <w:szCs w:val="24"/>
        </w:rPr>
        <w:t xml:space="preserve">While </w:t>
      </w:r>
      <w:proofErr w:type="spellStart"/>
      <w:r w:rsidR="00010ED3" w:rsidRPr="00A86FA6">
        <w:rPr>
          <w:sz w:val="24"/>
          <w:szCs w:val="24"/>
        </w:rPr>
        <w:t>iVDPV</w:t>
      </w:r>
      <w:proofErr w:type="spellEnd"/>
      <w:r w:rsidR="00010ED3" w:rsidRPr="00A86FA6">
        <w:rPr>
          <w:sz w:val="24"/>
          <w:szCs w:val="24"/>
        </w:rPr>
        <w:t xml:space="preserve"> has </w:t>
      </w:r>
      <w:r w:rsidR="00DC6115" w:rsidRPr="00A86FA6">
        <w:rPr>
          <w:sz w:val="24"/>
          <w:szCs w:val="24"/>
        </w:rPr>
        <w:t xml:space="preserve">not been </w:t>
      </w:r>
      <w:r w:rsidR="00D12AF2">
        <w:rPr>
          <w:sz w:val="24"/>
          <w:szCs w:val="24"/>
        </w:rPr>
        <w:t xml:space="preserve">identified as </w:t>
      </w:r>
      <w:r w:rsidR="00DC6115" w:rsidRPr="00A86FA6">
        <w:rPr>
          <w:sz w:val="24"/>
          <w:szCs w:val="24"/>
        </w:rPr>
        <w:t>the source of a polio outbreak, the prolonged shedding of virulent strains</w:t>
      </w:r>
      <w:r w:rsidR="00010ED3" w:rsidRPr="00A86FA6">
        <w:rPr>
          <w:sz w:val="24"/>
          <w:szCs w:val="24"/>
        </w:rPr>
        <w:t xml:space="preserve"> of</w:t>
      </w:r>
      <w:r w:rsidR="00DC6115" w:rsidRPr="00A86FA6">
        <w:rPr>
          <w:sz w:val="24"/>
          <w:szCs w:val="24"/>
        </w:rPr>
        <w:t xml:space="preserve"> </w:t>
      </w:r>
      <w:r w:rsidR="00010ED3" w:rsidRPr="00A86FA6">
        <w:rPr>
          <w:sz w:val="24"/>
          <w:szCs w:val="24"/>
        </w:rPr>
        <w:t xml:space="preserve">poliovirus </w:t>
      </w:r>
      <w:r w:rsidR="00DC6115" w:rsidRPr="00A86FA6">
        <w:rPr>
          <w:sz w:val="24"/>
          <w:szCs w:val="24"/>
        </w:rPr>
        <w:t>represents a threat to the global eradication of poliovirus.</w:t>
      </w:r>
    </w:p>
    <w:p w:rsidR="005731A0" w:rsidRDefault="005731A0" w:rsidP="006F773E">
      <w:pPr>
        <w:tabs>
          <w:tab w:val="left" w:pos="1770"/>
        </w:tabs>
        <w:rPr>
          <w:sz w:val="24"/>
          <w:szCs w:val="24"/>
        </w:rPr>
      </w:pPr>
    </w:p>
    <w:p w:rsidR="00477A7C" w:rsidRPr="00477A7C" w:rsidRDefault="00DB123C" w:rsidP="006F42BD">
      <w:pPr>
        <w:pStyle w:val="Heading1"/>
      </w:pPr>
      <w:bookmarkStart w:id="9" w:name="_Toc492292890"/>
      <w:proofErr w:type="spellStart"/>
      <w:r>
        <w:lastRenderedPageBreak/>
        <w:t>Bio</w:t>
      </w:r>
      <w:r w:rsidR="006F773E">
        <w:t>r</w:t>
      </w:r>
      <w:r w:rsidR="00477A7C" w:rsidRPr="00477A7C">
        <w:t>isk</w:t>
      </w:r>
      <w:proofErr w:type="spellEnd"/>
      <w:r w:rsidR="00477A7C" w:rsidRPr="00477A7C">
        <w:t xml:space="preserve"> </w:t>
      </w:r>
      <w:r>
        <w:t>management of</w:t>
      </w:r>
      <w:r w:rsidR="00477A7C" w:rsidRPr="00477A7C">
        <w:t xml:space="preserve"> </w:t>
      </w:r>
      <w:r w:rsidR="008C49BA">
        <w:t xml:space="preserve">poliovirus </w:t>
      </w:r>
      <w:r w:rsidR="00477A7C" w:rsidRPr="00477A7C">
        <w:t>potentially infectious materials</w:t>
      </w:r>
      <w:bookmarkEnd w:id="9"/>
      <w:r w:rsidR="00477A7C" w:rsidRPr="00477A7C">
        <w:t xml:space="preserve"> </w:t>
      </w:r>
    </w:p>
    <w:p w:rsidR="00EB339D" w:rsidRPr="006F42BD" w:rsidRDefault="00EB339D" w:rsidP="00690212">
      <w:pPr>
        <w:rPr>
          <w:sz w:val="24"/>
          <w:szCs w:val="24"/>
        </w:rPr>
      </w:pPr>
    </w:p>
    <w:p w:rsidR="00690212" w:rsidRPr="00B55334" w:rsidRDefault="000271F1" w:rsidP="00B55334">
      <w:pPr>
        <w:pStyle w:val="Heading2"/>
        <w:numPr>
          <w:ilvl w:val="0"/>
          <w:numId w:val="29"/>
        </w:numPr>
      </w:pPr>
      <w:bookmarkStart w:id="10" w:name="_Toc492292891"/>
      <w:proofErr w:type="gramStart"/>
      <w:r w:rsidRPr="00B55334">
        <w:rPr>
          <w:color w:val="1E7FB8"/>
        </w:rPr>
        <w:t>C</w:t>
      </w:r>
      <w:r w:rsidR="00690212" w:rsidRPr="00B55334">
        <w:rPr>
          <w:color w:val="1E7FB8"/>
        </w:rPr>
        <w:t>ollections with potential for WPV/</w:t>
      </w:r>
      <w:proofErr w:type="spellStart"/>
      <w:r w:rsidR="00690212" w:rsidRPr="00B55334">
        <w:rPr>
          <w:color w:val="1E7FB8"/>
        </w:rPr>
        <w:t>cVDPV</w:t>
      </w:r>
      <w:proofErr w:type="spellEnd"/>
      <w:r w:rsidR="00690212" w:rsidRPr="00B55334">
        <w:t>.</w:t>
      </w:r>
      <w:bookmarkEnd w:id="10"/>
      <w:proofErr w:type="gramEnd"/>
      <w:r w:rsidR="00690212" w:rsidRPr="00B55334">
        <w:t xml:space="preserve"> </w:t>
      </w:r>
    </w:p>
    <w:p w:rsidR="00B55334" w:rsidRDefault="00B55334" w:rsidP="00477A7C">
      <w:pPr>
        <w:rPr>
          <w:sz w:val="24"/>
          <w:szCs w:val="24"/>
        </w:rPr>
      </w:pPr>
    </w:p>
    <w:p w:rsidR="000271F1" w:rsidRDefault="00690212" w:rsidP="00477A7C">
      <w:pPr>
        <w:rPr>
          <w:lang w:val="en-GB"/>
        </w:rPr>
      </w:pPr>
      <w:r>
        <w:rPr>
          <w:sz w:val="24"/>
          <w:szCs w:val="24"/>
        </w:rPr>
        <w:t>WPV2 is an eradicated agent</w:t>
      </w:r>
      <w:r w:rsidR="004C21B4">
        <w:rPr>
          <w:sz w:val="24"/>
          <w:szCs w:val="24"/>
        </w:rPr>
        <w:t xml:space="preserve">, with </w:t>
      </w:r>
      <w:r w:rsidR="00B55334">
        <w:rPr>
          <w:sz w:val="24"/>
          <w:szCs w:val="24"/>
        </w:rPr>
        <w:t>W</w:t>
      </w:r>
      <w:r w:rsidR="004C21B4">
        <w:rPr>
          <w:sz w:val="24"/>
          <w:szCs w:val="24"/>
        </w:rPr>
        <w:t xml:space="preserve">PV1 and </w:t>
      </w:r>
      <w:r w:rsidR="00B55334">
        <w:rPr>
          <w:sz w:val="24"/>
          <w:szCs w:val="24"/>
        </w:rPr>
        <w:t>W</w:t>
      </w:r>
      <w:r w:rsidR="004C21B4">
        <w:rPr>
          <w:sz w:val="24"/>
          <w:szCs w:val="24"/>
        </w:rPr>
        <w:t>PV3 soon to follow</w:t>
      </w:r>
      <w:r>
        <w:rPr>
          <w:sz w:val="24"/>
          <w:szCs w:val="24"/>
        </w:rPr>
        <w:t xml:space="preserve">. </w:t>
      </w:r>
      <w:r w:rsidR="000271F1" w:rsidRPr="00602C97">
        <w:rPr>
          <w:sz w:val="24"/>
          <w:lang w:val="en-GB"/>
        </w:rPr>
        <w:t xml:space="preserve">The retention of samples </w:t>
      </w:r>
      <w:r w:rsidR="004C21B4" w:rsidRPr="00602C97">
        <w:rPr>
          <w:sz w:val="24"/>
          <w:lang w:val="en-GB"/>
        </w:rPr>
        <w:t>potentially infectious for</w:t>
      </w:r>
      <w:r w:rsidR="000271F1" w:rsidRPr="00602C97">
        <w:rPr>
          <w:sz w:val="24"/>
          <w:lang w:val="en-GB"/>
        </w:rPr>
        <w:t xml:space="preserve"> WPV2/cVDPV2 </w:t>
      </w:r>
      <w:r w:rsidR="000271F1" w:rsidRPr="00602C97">
        <w:rPr>
          <w:b/>
          <w:sz w:val="24"/>
          <w:lang w:val="en-GB"/>
        </w:rPr>
        <w:t>s</w:t>
      </w:r>
      <w:r w:rsidR="000271F1" w:rsidRPr="00602C97">
        <w:rPr>
          <w:b/>
          <w:bCs/>
          <w:sz w:val="24"/>
          <w:lang w:val="en-GB"/>
        </w:rPr>
        <w:t>ubject</w:t>
      </w:r>
      <w:r w:rsidR="004C21B4" w:rsidRPr="00602C97">
        <w:rPr>
          <w:b/>
          <w:bCs/>
          <w:sz w:val="24"/>
          <w:lang w:val="en-GB"/>
        </w:rPr>
        <w:t>s the facility</w:t>
      </w:r>
      <w:r w:rsidR="000271F1" w:rsidRPr="00602C97">
        <w:rPr>
          <w:b/>
          <w:bCs/>
          <w:sz w:val="24"/>
          <w:lang w:val="en-GB"/>
        </w:rPr>
        <w:t xml:space="preserve"> to the approval of the responsible national authority for containment (NAC)</w:t>
      </w:r>
      <w:r w:rsidR="000271F1" w:rsidRPr="00602C97">
        <w:rPr>
          <w:sz w:val="24"/>
          <w:lang w:val="en-GB"/>
        </w:rPr>
        <w:t xml:space="preserve"> and requires implementation </w:t>
      </w:r>
      <w:r w:rsidR="004C21B4" w:rsidRPr="00602C97">
        <w:rPr>
          <w:sz w:val="24"/>
          <w:lang w:val="en-GB"/>
        </w:rPr>
        <w:t>as follows</w:t>
      </w:r>
      <w:r w:rsidR="000271F1" w:rsidRPr="00602C97">
        <w:rPr>
          <w:sz w:val="24"/>
          <w:lang w:val="en-GB"/>
        </w:rPr>
        <w:t>:</w:t>
      </w:r>
    </w:p>
    <w:p w:rsidR="000271F1" w:rsidRPr="000271F1" w:rsidRDefault="000271F1" w:rsidP="00602C97">
      <w:pPr>
        <w:pStyle w:val="ListParagraph"/>
        <w:numPr>
          <w:ilvl w:val="0"/>
          <w:numId w:val="5"/>
        </w:numPr>
        <w:spacing w:after="0" w:line="240" w:lineRule="auto"/>
        <w:ind w:left="709"/>
        <w:rPr>
          <w:sz w:val="24"/>
          <w:szCs w:val="24"/>
        </w:rPr>
      </w:pPr>
      <w:r w:rsidRPr="000271F1">
        <w:rPr>
          <w:sz w:val="24"/>
          <w:szCs w:val="24"/>
        </w:rPr>
        <w:t>The responsible national authority agrees to the retention of these materials.</w:t>
      </w:r>
    </w:p>
    <w:p w:rsidR="000271F1" w:rsidRPr="000271F1" w:rsidRDefault="000271F1" w:rsidP="00602C97">
      <w:pPr>
        <w:pStyle w:val="ListParagraph"/>
        <w:numPr>
          <w:ilvl w:val="0"/>
          <w:numId w:val="5"/>
        </w:numPr>
        <w:spacing w:after="0" w:line="240" w:lineRule="auto"/>
        <w:ind w:left="709"/>
        <w:rPr>
          <w:sz w:val="24"/>
          <w:szCs w:val="24"/>
        </w:rPr>
      </w:pPr>
      <w:r w:rsidRPr="000271F1">
        <w:rPr>
          <w:sz w:val="24"/>
          <w:szCs w:val="24"/>
        </w:rPr>
        <w:t>The responsible national authority des</w:t>
      </w:r>
      <w:r w:rsidR="00B55334">
        <w:rPr>
          <w:sz w:val="24"/>
          <w:szCs w:val="24"/>
        </w:rPr>
        <w:t>ignates the facility as a poliovirus-</w:t>
      </w:r>
      <w:r w:rsidRPr="000271F1">
        <w:rPr>
          <w:sz w:val="24"/>
          <w:szCs w:val="24"/>
        </w:rPr>
        <w:t>essential facility (</w:t>
      </w:r>
      <w:proofErr w:type="spellStart"/>
      <w:r w:rsidRPr="000271F1">
        <w:rPr>
          <w:sz w:val="24"/>
          <w:szCs w:val="24"/>
        </w:rPr>
        <w:t>dPEF</w:t>
      </w:r>
      <w:proofErr w:type="spellEnd"/>
      <w:r w:rsidRPr="000271F1">
        <w:rPr>
          <w:sz w:val="24"/>
          <w:szCs w:val="24"/>
        </w:rPr>
        <w:t>)</w:t>
      </w:r>
    </w:p>
    <w:p w:rsidR="000271F1" w:rsidRPr="000271F1" w:rsidRDefault="000271F1" w:rsidP="00602C97">
      <w:pPr>
        <w:pStyle w:val="ListParagraph"/>
        <w:numPr>
          <w:ilvl w:val="0"/>
          <w:numId w:val="5"/>
        </w:numPr>
        <w:spacing w:after="0" w:line="240" w:lineRule="auto"/>
        <w:ind w:left="709"/>
        <w:rPr>
          <w:sz w:val="24"/>
          <w:szCs w:val="24"/>
        </w:rPr>
      </w:pPr>
      <w:r w:rsidRPr="000271F1">
        <w:rPr>
          <w:sz w:val="24"/>
          <w:szCs w:val="24"/>
        </w:rPr>
        <w:t xml:space="preserve">The </w:t>
      </w:r>
      <w:proofErr w:type="spellStart"/>
      <w:r w:rsidRPr="000271F1">
        <w:rPr>
          <w:sz w:val="24"/>
          <w:szCs w:val="24"/>
        </w:rPr>
        <w:t>dPEF</w:t>
      </w:r>
      <w:proofErr w:type="spellEnd"/>
      <w:r w:rsidRPr="000271F1">
        <w:rPr>
          <w:sz w:val="24"/>
          <w:szCs w:val="24"/>
        </w:rPr>
        <w:t xml:space="preserve"> engages in the certification process against GAPIII requirements, and applies to the NAC for a Certificate of Participation (CP) in the certification process described in the GAPIII Containment Certification Scheme (CCS).</w:t>
      </w:r>
    </w:p>
    <w:p w:rsidR="000271F1" w:rsidRPr="000271F1" w:rsidRDefault="000271F1" w:rsidP="00602C97">
      <w:pPr>
        <w:pStyle w:val="ListParagraph"/>
        <w:numPr>
          <w:ilvl w:val="0"/>
          <w:numId w:val="5"/>
        </w:numPr>
        <w:spacing w:after="0" w:line="240" w:lineRule="auto"/>
        <w:ind w:left="709"/>
        <w:rPr>
          <w:sz w:val="24"/>
          <w:szCs w:val="24"/>
        </w:rPr>
      </w:pPr>
      <w:r w:rsidRPr="000271F1">
        <w:rPr>
          <w:sz w:val="24"/>
          <w:szCs w:val="24"/>
        </w:rPr>
        <w:t xml:space="preserve">The </w:t>
      </w:r>
      <w:proofErr w:type="spellStart"/>
      <w:r w:rsidRPr="000271F1">
        <w:rPr>
          <w:sz w:val="24"/>
          <w:szCs w:val="24"/>
        </w:rPr>
        <w:t>dPEF</w:t>
      </w:r>
      <w:proofErr w:type="spellEnd"/>
      <w:r w:rsidRPr="000271F1">
        <w:rPr>
          <w:sz w:val="24"/>
          <w:szCs w:val="24"/>
        </w:rPr>
        <w:t xml:space="preserve"> holding a CP for the retention of WPV2/VDPV2 materials demonstrates compliance with requirements described in Annex 2 of GAPIII and</w:t>
      </w:r>
      <w:r w:rsidRPr="000271F1" w:rsidDel="00495FA6">
        <w:rPr>
          <w:sz w:val="24"/>
          <w:szCs w:val="24"/>
        </w:rPr>
        <w:t xml:space="preserve"> </w:t>
      </w:r>
      <w:r w:rsidRPr="000271F1">
        <w:rPr>
          <w:sz w:val="24"/>
          <w:szCs w:val="24"/>
        </w:rPr>
        <w:t>applies to the NAC for containment certification (ICC/CC) against GAPIII, as described in the (CCS).</w:t>
      </w:r>
    </w:p>
    <w:p w:rsidR="000271F1" w:rsidRPr="000271F1" w:rsidRDefault="000271F1" w:rsidP="00602C97">
      <w:pPr>
        <w:pStyle w:val="ListParagraph"/>
        <w:numPr>
          <w:ilvl w:val="0"/>
          <w:numId w:val="5"/>
        </w:numPr>
        <w:spacing w:after="0" w:line="240" w:lineRule="auto"/>
        <w:ind w:left="709"/>
        <w:rPr>
          <w:sz w:val="24"/>
          <w:szCs w:val="24"/>
        </w:rPr>
      </w:pPr>
      <w:r w:rsidRPr="000271F1">
        <w:rPr>
          <w:sz w:val="24"/>
          <w:szCs w:val="24"/>
        </w:rPr>
        <w:t xml:space="preserve">A </w:t>
      </w:r>
      <w:proofErr w:type="spellStart"/>
      <w:r w:rsidRPr="000271F1">
        <w:rPr>
          <w:sz w:val="24"/>
          <w:szCs w:val="24"/>
        </w:rPr>
        <w:t>dPEF</w:t>
      </w:r>
      <w:proofErr w:type="spellEnd"/>
      <w:r w:rsidRPr="000271F1">
        <w:rPr>
          <w:sz w:val="24"/>
          <w:szCs w:val="24"/>
        </w:rPr>
        <w:t xml:space="preserve"> that is NOT granted a CP will have the option to transfer the relevant materials to another PEF or to destroy them.</w:t>
      </w:r>
    </w:p>
    <w:p w:rsidR="000271F1" w:rsidRPr="000271F1" w:rsidRDefault="000271F1" w:rsidP="00602C97">
      <w:pPr>
        <w:pStyle w:val="ListParagraph"/>
        <w:numPr>
          <w:ilvl w:val="0"/>
          <w:numId w:val="5"/>
        </w:numPr>
        <w:spacing w:after="0" w:line="240" w:lineRule="auto"/>
        <w:ind w:left="709"/>
        <w:rPr>
          <w:sz w:val="24"/>
          <w:szCs w:val="24"/>
        </w:rPr>
      </w:pPr>
      <w:r w:rsidRPr="000271F1">
        <w:rPr>
          <w:sz w:val="24"/>
          <w:szCs w:val="24"/>
        </w:rPr>
        <w:t xml:space="preserve">A </w:t>
      </w:r>
      <w:proofErr w:type="spellStart"/>
      <w:r w:rsidRPr="000271F1">
        <w:rPr>
          <w:sz w:val="24"/>
          <w:szCs w:val="24"/>
        </w:rPr>
        <w:t>dPEF</w:t>
      </w:r>
      <w:proofErr w:type="spellEnd"/>
      <w:r w:rsidRPr="000271F1">
        <w:rPr>
          <w:sz w:val="24"/>
          <w:szCs w:val="24"/>
        </w:rPr>
        <w:t xml:space="preserve"> that is granted a CP is allowed to continue the retention of relevant materials, as described in the CCS.</w:t>
      </w:r>
    </w:p>
    <w:p w:rsidR="000271F1" w:rsidRPr="000271F1" w:rsidRDefault="000271F1" w:rsidP="00602C97">
      <w:pPr>
        <w:pStyle w:val="ListParagraph"/>
        <w:numPr>
          <w:ilvl w:val="0"/>
          <w:numId w:val="5"/>
        </w:numPr>
        <w:spacing w:after="0" w:line="240" w:lineRule="auto"/>
        <w:ind w:left="709"/>
        <w:rPr>
          <w:sz w:val="24"/>
          <w:szCs w:val="24"/>
          <w:lang w:val="en-GB"/>
        </w:rPr>
      </w:pPr>
      <w:r w:rsidRPr="000271F1">
        <w:rPr>
          <w:sz w:val="24"/>
          <w:szCs w:val="24"/>
        </w:rPr>
        <w:t>The validity of</w:t>
      </w:r>
      <w:r w:rsidRPr="000271F1">
        <w:rPr>
          <w:sz w:val="24"/>
          <w:szCs w:val="24"/>
          <w:lang w:val="en-GB"/>
        </w:rPr>
        <w:t xml:space="preserve"> a CP/ICC/CC is limited, as described in the CCS.</w:t>
      </w:r>
    </w:p>
    <w:p w:rsidR="000271F1" w:rsidRDefault="000271F1" w:rsidP="000271F1">
      <w:pPr>
        <w:rPr>
          <w:sz w:val="24"/>
          <w:szCs w:val="24"/>
          <w:lang w:val="en-GB"/>
        </w:rPr>
      </w:pPr>
    </w:p>
    <w:p w:rsidR="000271F1" w:rsidRDefault="000271F1" w:rsidP="000271F1">
      <w:pPr>
        <w:rPr>
          <w:sz w:val="24"/>
          <w:szCs w:val="24"/>
          <w:lang w:val="en-GB"/>
        </w:rPr>
      </w:pPr>
      <w:r w:rsidRPr="000271F1">
        <w:rPr>
          <w:sz w:val="24"/>
          <w:szCs w:val="24"/>
          <w:lang w:val="en-GB"/>
        </w:rPr>
        <w:t xml:space="preserve">Facilities that intend to retain WPV2/cVDPV2 samples for a limited period of time within Phase II of GAPIII, e.g. to complete research studies, may wish to consider applying for CP/ICC only, and transfer to a CC-certified PEF or destroy their materials before the end of Phase II of GAPIII. </w:t>
      </w:r>
      <w:r w:rsidR="00D12AF2">
        <w:rPr>
          <w:sz w:val="24"/>
          <w:szCs w:val="24"/>
          <w:lang w:val="en-GB"/>
        </w:rPr>
        <w:t xml:space="preserve">Note that stringent requirements still apply during this period. </w:t>
      </w:r>
      <w:r w:rsidRPr="000271F1">
        <w:rPr>
          <w:sz w:val="24"/>
          <w:szCs w:val="24"/>
          <w:lang w:val="en-GB"/>
        </w:rPr>
        <w:t xml:space="preserve">Facilities that intend to retain materials beyond the end of Phase II of GAPIII are expected to demonstrate full compliance with all GAPIII requirements and be granted a full containment certificate (CC). </w:t>
      </w:r>
    </w:p>
    <w:p w:rsidR="00B85BC4" w:rsidRPr="000271F1" w:rsidRDefault="00B85BC4" w:rsidP="000271F1">
      <w:pPr>
        <w:rPr>
          <w:sz w:val="24"/>
          <w:szCs w:val="24"/>
          <w:lang w:val="en-GB"/>
        </w:rPr>
      </w:pPr>
    </w:p>
    <w:p w:rsidR="00690212" w:rsidRPr="00B55334" w:rsidRDefault="000271F1" w:rsidP="00B55334">
      <w:pPr>
        <w:pStyle w:val="Heading2"/>
        <w:numPr>
          <w:ilvl w:val="0"/>
          <w:numId w:val="29"/>
        </w:numPr>
        <w:rPr>
          <w:color w:val="1E7FB8"/>
        </w:rPr>
      </w:pPr>
      <w:bookmarkStart w:id="11" w:name="_Toc492292892"/>
      <w:r w:rsidRPr="00B55334">
        <w:rPr>
          <w:color w:val="1E7FB8"/>
        </w:rPr>
        <w:t xml:space="preserve">Collections with potential </w:t>
      </w:r>
      <w:r w:rsidR="00170F95" w:rsidRPr="00B55334">
        <w:rPr>
          <w:color w:val="1E7FB8"/>
        </w:rPr>
        <w:t xml:space="preserve">only </w:t>
      </w:r>
      <w:r w:rsidR="00111EC0" w:rsidRPr="00B55334">
        <w:rPr>
          <w:color w:val="1E7FB8"/>
        </w:rPr>
        <w:t xml:space="preserve">for </w:t>
      </w:r>
      <w:r w:rsidR="00170F95" w:rsidRPr="00B55334">
        <w:rPr>
          <w:color w:val="1E7FB8"/>
        </w:rPr>
        <w:t>OPV/Sabin and related strains</w:t>
      </w:r>
      <w:bookmarkEnd w:id="11"/>
    </w:p>
    <w:p w:rsidR="00B55334" w:rsidRDefault="00B55334" w:rsidP="006F42BD">
      <w:pPr>
        <w:rPr>
          <w:sz w:val="24"/>
          <w:szCs w:val="24"/>
        </w:rPr>
      </w:pPr>
    </w:p>
    <w:p w:rsidR="005731A0" w:rsidRDefault="00420F7E" w:rsidP="006F42BD">
      <w:pPr>
        <w:rPr>
          <w:sz w:val="24"/>
          <w:szCs w:val="24"/>
        </w:rPr>
      </w:pPr>
      <w:r>
        <w:rPr>
          <w:sz w:val="24"/>
          <w:szCs w:val="24"/>
        </w:rPr>
        <w:t xml:space="preserve">OPV/Sabin </w:t>
      </w:r>
      <w:r w:rsidR="00D870CA">
        <w:rPr>
          <w:sz w:val="24"/>
          <w:szCs w:val="24"/>
        </w:rPr>
        <w:t xml:space="preserve">materials </w:t>
      </w:r>
      <w:r>
        <w:rPr>
          <w:sz w:val="24"/>
          <w:szCs w:val="24"/>
        </w:rPr>
        <w:t xml:space="preserve">can be </w:t>
      </w:r>
      <w:r w:rsidR="00A76E3E">
        <w:rPr>
          <w:sz w:val="24"/>
          <w:szCs w:val="24"/>
        </w:rPr>
        <w:t>sub-categorized</w:t>
      </w:r>
      <w:r w:rsidR="00617951">
        <w:rPr>
          <w:sz w:val="24"/>
          <w:szCs w:val="24"/>
        </w:rPr>
        <w:t xml:space="preserve"> </w:t>
      </w:r>
      <w:r w:rsidR="00132D1F">
        <w:rPr>
          <w:sz w:val="24"/>
          <w:szCs w:val="24"/>
        </w:rPr>
        <w:t xml:space="preserve">into </w:t>
      </w:r>
      <w:r w:rsidR="004B0FE5">
        <w:rPr>
          <w:sz w:val="24"/>
          <w:szCs w:val="24"/>
        </w:rPr>
        <w:t>three risk levels</w:t>
      </w:r>
      <w:r w:rsidR="00CE5F36">
        <w:rPr>
          <w:sz w:val="24"/>
          <w:szCs w:val="24"/>
        </w:rPr>
        <w:t xml:space="preserve">, </w:t>
      </w:r>
      <w:r w:rsidR="005731A0">
        <w:rPr>
          <w:sz w:val="24"/>
          <w:szCs w:val="24"/>
        </w:rPr>
        <w:t xml:space="preserve">depending on type of sample and laboratory procedures being used (Table 1). </w:t>
      </w:r>
      <w:r w:rsidR="00CE5F36">
        <w:rPr>
          <w:sz w:val="24"/>
          <w:szCs w:val="24"/>
        </w:rPr>
        <w:t xml:space="preserve"> </w:t>
      </w:r>
    </w:p>
    <w:p w:rsidR="00C120A9" w:rsidRDefault="00C120A9" w:rsidP="006F42BD">
      <w:pPr>
        <w:pStyle w:val="TableParagraph"/>
      </w:pPr>
    </w:p>
    <w:p w:rsidR="00132D1F" w:rsidRPr="00382E00" w:rsidRDefault="00CE5F36" w:rsidP="006F42BD">
      <w:pPr>
        <w:pStyle w:val="TableParagraph"/>
        <w:rPr>
          <w:rFonts w:eastAsiaTheme="minorHAnsi" w:cstheme="minorBidi"/>
        </w:rPr>
      </w:pPr>
      <w:proofErr w:type="gramStart"/>
      <w:r w:rsidRPr="00382E00">
        <w:rPr>
          <w:rFonts w:eastAsiaTheme="minorHAnsi" w:cstheme="minorBidi"/>
        </w:rPr>
        <w:t>Table 1</w:t>
      </w:r>
      <w:r w:rsidR="00132D1F" w:rsidRPr="00382E00">
        <w:rPr>
          <w:rFonts w:eastAsiaTheme="minorHAnsi" w:cstheme="minorBidi"/>
        </w:rPr>
        <w:t>.</w:t>
      </w:r>
      <w:proofErr w:type="gramEnd"/>
      <w:r w:rsidR="00132D1F" w:rsidRPr="00382E00">
        <w:rPr>
          <w:rFonts w:eastAsiaTheme="minorHAnsi" w:cstheme="minorBidi"/>
        </w:rPr>
        <w:t xml:space="preserve"> Risk groups for </w:t>
      </w:r>
      <w:r w:rsidR="00256247" w:rsidRPr="00382E00">
        <w:rPr>
          <w:rFonts w:eastAsiaTheme="minorHAnsi" w:cstheme="minorBidi"/>
        </w:rPr>
        <w:t>OPV/</w:t>
      </w:r>
      <w:r w:rsidR="00132D1F" w:rsidRPr="00382E00">
        <w:rPr>
          <w:rFonts w:eastAsiaTheme="minorHAnsi" w:cstheme="minorBidi"/>
        </w:rPr>
        <w:t>Sabin poliovirus potentially infectious materials</w:t>
      </w:r>
    </w:p>
    <w:p w:rsidR="006F42BD" w:rsidRDefault="006F42BD" w:rsidP="006F42BD">
      <w:pPr>
        <w:pStyle w:val="TableParagraph"/>
      </w:pPr>
    </w:p>
    <w:tbl>
      <w:tblPr>
        <w:tblStyle w:val="MediumGrid3-Accent5"/>
        <w:tblW w:w="9322" w:type="dxa"/>
        <w:tblLook w:val="04A0" w:firstRow="1" w:lastRow="0" w:firstColumn="1" w:lastColumn="0" w:noHBand="0" w:noVBand="1"/>
      </w:tblPr>
      <w:tblGrid>
        <w:gridCol w:w="1384"/>
        <w:gridCol w:w="4111"/>
        <w:gridCol w:w="3827"/>
      </w:tblGrid>
      <w:tr w:rsidR="009C59DA" w:rsidTr="00C120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84" w:type="dxa"/>
            <w:vAlign w:val="center"/>
          </w:tcPr>
          <w:p w:rsidR="009C59DA" w:rsidRPr="00B85BC4" w:rsidRDefault="009C59DA" w:rsidP="00B85BC4">
            <w:pPr>
              <w:jc w:val="center"/>
            </w:pPr>
            <w:r w:rsidRPr="00B85BC4">
              <w:t>Risk Group</w:t>
            </w:r>
            <w:r w:rsidR="00492CB6" w:rsidRPr="00B85BC4">
              <w:t xml:space="preserve"> Level</w:t>
            </w:r>
          </w:p>
        </w:tc>
        <w:tc>
          <w:tcPr>
            <w:tcW w:w="4111" w:type="dxa"/>
            <w:vAlign w:val="center"/>
          </w:tcPr>
          <w:p w:rsidR="009C59DA" w:rsidRPr="00B85BC4" w:rsidRDefault="009C59DA" w:rsidP="00B85BC4">
            <w:pPr>
              <w:jc w:val="center"/>
              <w:cnfStyle w:val="100000000000" w:firstRow="1" w:lastRow="0" w:firstColumn="0" w:lastColumn="0" w:oddVBand="0" w:evenVBand="0" w:oddHBand="0" w:evenHBand="0" w:firstRowFirstColumn="0" w:firstRowLastColumn="0" w:lastRowFirstColumn="0" w:lastRowLastColumn="0"/>
            </w:pPr>
            <w:r w:rsidRPr="00B85BC4">
              <w:t>Type of PIM</w:t>
            </w:r>
          </w:p>
        </w:tc>
        <w:tc>
          <w:tcPr>
            <w:tcW w:w="3827" w:type="dxa"/>
            <w:vAlign w:val="center"/>
          </w:tcPr>
          <w:p w:rsidR="009C59DA" w:rsidRPr="00B85BC4" w:rsidRDefault="009C59DA" w:rsidP="00B85BC4">
            <w:pPr>
              <w:jc w:val="center"/>
              <w:cnfStyle w:val="100000000000" w:firstRow="1" w:lastRow="0" w:firstColumn="0" w:lastColumn="0" w:oddVBand="0" w:evenVBand="0" w:oddHBand="0" w:evenHBand="0" w:firstRowFirstColumn="0" w:firstRowLastColumn="0" w:lastRowFirstColumn="0" w:lastRowLastColumn="0"/>
            </w:pPr>
            <w:r w:rsidRPr="00B85BC4">
              <w:t>Procedures used</w:t>
            </w:r>
            <w:r w:rsidR="00657541" w:rsidRPr="00B85BC4">
              <w:t xml:space="preserve"> with PIM</w:t>
            </w:r>
          </w:p>
        </w:tc>
      </w:tr>
      <w:tr w:rsidR="00657541" w:rsidTr="00C12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657541" w:rsidRDefault="00657541" w:rsidP="00C120A9">
            <w:r>
              <w:t xml:space="preserve">1 </w:t>
            </w:r>
            <w:r w:rsidR="00D12AF2">
              <w:t>Moderate</w:t>
            </w:r>
          </w:p>
        </w:tc>
        <w:tc>
          <w:tcPr>
            <w:tcW w:w="4111" w:type="dxa"/>
            <w:vAlign w:val="center"/>
          </w:tcPr>
          <w:p w:rsidR="00657541" w:rsidRDefault="00657541" w:rsidP="00C120A9">
            <w:pPr>
              <w:cnfStyle w:val="000000100000" w:firstRow="0" w:lastRow="0" w:firstColumn="0" w:lastColumn="0" w:oddVBand="0" w:evenVBand="0" w:oddHBand="1" w:evenHBand="0" w:firstRowFirstColumn="0" w:firstRowLastColumn="0" w:lastRowFirstColumn="0" w:lastRowLastColumn="0"/>
            </w:pPr>
            <w:proofErr w:type="spellStart"/>
            <w:r>
              <w:t>Faecal</w:t>
            </w:r>
            <w:proofErr w:type="spellEnd"/>
            <w:r>
              <w:t xml:space="preserve"> samples or concentrated sewage</w:t>
            </w:r>
          </w:p>
        </w:tc>
        <w:tc>
          <w:tcPr>
            <w:tcW w:w="3827" w:type="dxa"/>
            <w:vAlign w:val="center"/>
          </w:tcPr>
          <w:p w:rsidR="00657541" w:rsidRDefault="00657541" w:rsidP="00C120A9">
            <w:pPr>
              <w:cnfStyle w:val="000000100000" w:firstRow="0" w:lastRow="0" w:firstColumn="0" w:lastColumn="0" w:oddVBand="0" w:evenVBand="0" w:oddHBand="1" w:evenHBand="0" w:firstRowFirstColumn="0" w:firstRowLastColumn="0" w:lastRowFirstColumn="0" w:lastRowLastColumn="0"/>
            </w:pPr>
            <w:r>
              <w:t>Inoculation into poliovirus-permissive cells</w:t>
            </w:r>
          </w:p>
        </w:tc>
      </w:tr>
      <w:tr w:rsidR="00657541" w:rsidTr="00C120A9">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657541" w:rsidRDefault="00657541" w:rsidP="00C120A9"/>
        </w:tc>
        <w:tc>
          <w:tcPr>
            <w:tcW w:w="4111" w:type="dxa"/>
            <w:vAlign w:val="center"/>
          </w:tcPr>
          <w:p w:rsidR="00657541" w:rsidRDefault="00657541" w:rsidP="00C120A9">
            <w:pPr>
              <w:cnfStyle w:val="000000000000" w:firstRow="0" w:lastRow="0" w:firstColumn="0" w:lastColumn="0" w:oddVBand="0" w:evenVBand="0" w:oddHBand="0" w:evenHBand="0" w:firstRowFirstColumn="0" w:firstRowLastColumn="0" w:lastRowFirstColumn="0" w:lastRowLastColumn="0"/>
            </w:pPr>
            <w:r>
              <w:t xml:space="preserve">Extracted nucleic acid from </w:t>
            </w:r>
            <w:proofErr w:type="spellStart"/>
            <w:r>
              <w:t>faecal</w:t>
            </w:r>
            <w:proofErr w:type="spellEnd"/>
            <w:r>
              <w:t xml:space="preserve"> samples or concentrated sewage</w:t>
            </w:r>
          </w:p>
        </w:tc>
        <w:tc>
          <w:tcPr>
            <w:tcW w:w="3827" w:type="dxa"/>
            <w:vAlign w:val="center"/>
          </w:tcPr>
          <w:p w:rsidR="00657541" w:rsidRDefault="00657541" w:rsidP="00C120A9">
            <w:pPr>
              <w:cnfStyle w:val="000000000000" w:firstRow="0" w:lastRow="0" w:firstColumn="0" w:lastColumn="0" w:oddVBand="0" w:evenVBand="0" w:oddHBand="0" w:evenHBand="0" w:firstRowFirstColumn="0" w:firstRowLastColumn="0" w:lastRowFirstColumn="0" w:lastRowLastColumn="0"/>
            </w:pPr>
            <w:r>
              <w:t>Transfection into poliovirus-permissive cells</w:t>
            </w:r>
          </w:p>
        </w:tc>
      </w:tr>
      <w:tr w:rsidR="00657541" w:rsidTr="00C120A9">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657541" w:rsidRDefault="00657541" w:rsidP="00C120A9">
            <w:r>
              <w:lastRenderedPageBreak/>
              <w:t xml:space="preserve">2 </w:t>
            </w:r>
            <w:r w:rsidR="00D12AF2">
              <w:t>Low</w:t>
            </w:r>
          </w:p>
        </w:tc>
        <w:tc>
          <w:tcPr>
            <w:tcW w:w="4111" w:type="dxa"/>
            <w:vAlign w:val="center"/>
          </w:tcPr>
          <w:p w:rsidR="00657541" w:rsidRDefault="00657541" w:rsidP="00C120A9">
            <w:pPr>
              <w:cnfStyle w:val="000000100000" w:firstRow="0" w:lastRow="0" w:firstColumn="0" w:lastColumn="0" w:oddVBand="0" w:evenVBand="0" w:oddHBand="1" w:evenHBand="0" w:firstRowFirstColumn="0" w:firstRowLastColumn="0" w:lastRowFirstColumn="0" w:lastRowLastColumn="0"/>
            </w:pPr>
            <w:proofErr w:type="spellStart"/>
            <w:r>
              <w:t>Faecal</w:t>
            </w:r>
            <w:proofErr w:type="spellEnd"/>
            <w:r>
              <w:t xml:space="preserve"> samples or concentrated sewage</w:t>
            </w:r>
          </w:p>
        </w:tc>
        <w:tc>
          <w:tcPr>
            <w:tcW w:w="3827" w:type="dxa"/>
            <w:vAlign w:val="center"/>
          </w:tcPr>
          <w:p w:rsidR="00657541" w:rsidRPr="009C59DA" w:rsidRDefault="00657541" w:rsidP="00C120A9">
            <w:pPr>
              <w:cnfStyle w:val="000000100000" w:firstRow="0" w:lastRow="0" w:firstColumn="0" w:lastColumn="0" w:oddVBand="0" w:evenVBand="0" w:oddHBand="1" w:evenHBand="0" w:firstRowFirstColumn="0" w:firstRowLastColumn="0" w:lastRowFirstColumn="0" w:lastRowLastColumn="0"/>
            </w:pPr>
            <w:r w:rsidRPr="009C59DA">
              <w:t>No cell culture inoculation</w:t>
            </w:r>
          </w:p>
        </w:tc>
      </w:tr>
      <w:tr w:rsidR="00657541" w:rsidTr="00C120A9">
        <w:trPr>
          <w:trHeight w:val="54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657541" w:rsidRDefault="00657541" w:rsidP="00C120A9"/>
        </w:tc>
        <w:tc>
          <w:tcPr>
            <w:tcW w:w="4111" w:type="dxa"/>
            <w:vAlign w:val="center"/>
          </w:tcPr>
          <w:p w:rsidR="00657541" w:rsidRDefault="00657541" w:rsidP="00C120A9">
            <w:pPr>
              <w:cnfStyle w:val="000000000000" w:firstRow="0" w:lastRow="0" w:firstColumn="0" w:lastColumn="0" w:oddVBand="0" w:evenVBand="0" w:oddHBand="0" w:evenHBand="0" w:firstRowFirstColumn="0" w:firstRowLastColumn="0" w:lastRowFirstColumn="0" w:lastRowLastColumn="0"/>
            </w:pPr>
            <w:r>
              <w:t>Respiratory tract samples</w:t>
            </w:r>
          </w:p>
        </w:tc>
        <w:tc>
          <w:tcPr>
            <w:tcW w:w="3827" w:type="dxa"/>
            <w:vAlign w:val="center"/>
          </w:tcPr>
          <w:p w:rsidR="00657541" w:rsidRDefault="00657541" w:rsidP="00C120A9">
            <w:pPr>
              <w:cnfStyle w:val="000000000000" w:firstRow="0" w:lastRow="0" w:firstColumn="0" w:lastColumn="0" w:oddVBand="0" w:evenVBand="0" w:oddHBand="0" w:evenHBand="0" w:firstRowFirstColumn="0" w:firstRowLastColumn="0" w:lastRowFirstColumn="0" w:lastRowLastColumn="0"/>
            </w:pPr>
            <w:r>
              <w:t>Inoculation into polio-permissive cells</w:t>
            </w:r>
          </w:p>
        </w:tc>
      </w:tr>
      <w:tr w:rsidR="00657541" w:rsidTr="00C120A9">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657541" w:rsidRDefault="00657541" w:rsidP="00C120A9"/>
        </w:tc>
        <w:tc>
          <w:tcPr>
            <w:tcW w:w="4111" w:type="dxa"/>
            <w:vAlign w:val="center"/>
          </w:tcPr>
          <w:p w:rsidR="00657541" w:rsidRDefault="00657541" w:rsidP="00C120A9">
            <w:pPr>
              <w:cnfStyle w:val="000000100000" w:firstRow="0" w:lastRow="0" w:firstColumn="0" w:lastColumn="0" w:oddVBand="0" w:evenVBand="0" w:oddHBand="1" w:evenHBand="0" w:firstRowFirstColumn="0" w:firstRowLastColumn="0" w:lastRowFirstColumn="0" w:lastRowLastColumn="0"/>
            </w:pPr>
            <w:r>
              <w:t>Extracted nucleic acid from respiratory tract samples</w:t>
            </w:r>
          </w:p>
        </w:tc>
        <w:tc>
          <w:tcPr>
            <w:tcW w:w="3827" w:type="dxa"/>
            <w:vAlign w:val="center"/>
          </w:tcPr>
          <w:p w:rsidR="00657541" w:rsidRDefault="00657541" w:rsidP="00C120A9">
            <w:pPr>
              <w:cnfStyle w:val="000000100000" w:firstRow="0" w:lastRow="0" w:firstColumn="0" w:lastColumn="0" w:oddVBand="0" w:evenVBand="0" w:oddHBand="1" w:evenHBand="0" w:firstRowFirstColumn="0" w:firstRowLastColumn="0" w:lastRowFirstColumn="0" w:lastRowLastColumn="0"/>
            </w:pPr>
            <w:r>
              <w:t>Transfection into poliovirus-permissive cells</w:t>
            </w:r>
          </w:p>
        </w:tc>
      </w:tr>
      <w:tr w:rsidR="00657541" w:rsidTr="00C120A9">
        <w:trPr>
          <w:trHeight w:val="44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657541" w:rsidRDefault="00657541" w:rsidP="00C120A9">
            <w:r>
              <w:t xml:space="preserve">3 </w:t>
            </w:r>
            <w:r w:rsidR="00D12AF2">
              <w:t>Lowest</w:t>
            </w:r>
          </w:p>
        </w:tc>
        <w:tc>
          <w:tcPr>
            <w:tcW w:w="4111" w:type="dxa"/>
            <w:vAlign w:val="center"/>
          </w:tcPr>
          <w:p w:rsidR="00657541" w:rsidRDefault="00657541" w:rsidP="00C120A9">
            <w:pPr>
              <w:cnfStyle w:val="000000000000" w:firstRow="0" w:lastRow="0" w:firstColumn="0" w:lastColumn="0" w:oddVBand="0" w:evenVBand="0" w:oddHBand="0" w:evenHBand="0" w:firstRowFirstColumn="0" w:firstRowLastColumn="0" w:lastRowFirstColumn="0" w:lastRowLastColumn="0"/>
            </w:pPr>
            <w:r>
              <w:t>Respiratory tract samples</w:t>
            </w:r>
          </w:p>
        </w:tc>
        <w:tc>
          <w:tcPr>
            <w:tcW w:w="3827" w:type="dxa"/>
            <w:vAlign w:val="center"/>
          </w:tcPr>
          <w:p w:rsidR="00657541" w:rsidRPr="009C59DA" w:rsidRDefault="00657541" w:rsidP="00C120A9">
            <w:pPr>
              <w:cnfStyle w:val="000000000000" w:firstRow="0" w:lastRow="0" w:firstColumn="0" w:lastColumn="0" w:oddVBand="0" w:evenVBand="0" w:oddHBand="0" w:evenHBand="0" w:firstRowFirstColumn="0" w:firstRowLastColumn="0" w:lastRowFirstColumn="0" w:lastRowLastColumn="0"/>
            </w:pPr>
            <w:r w:rsidRPr="009C59DA">
              <w:t>No cell culture inoculation</w:t>
            </w:r>
          </w:p>
        </w:tc>
      </w:tr>
      <w:tr w:rsidR="00657541" w:rsidTr="00C120A9">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657541" w:rsidRDefault="00657541" w:rsidP="00C120A9"/>
        </w:tc>
        <w:tc>
          <w:tcPr>
            <w:tcW w:w="4111" w:type="dxa"/>
            <w:vAlign w:val="center"/>
          </w:tcPr>
          <w:p w:rsidR="00657541" w:rsidRDefault="00657541" w:rsidP="00C120A9">
            <w:pPr>
              <w:cnfStyle w:val="000000100000" w:firstRow="0" w:lastRow="0" w:firstColumn="0" w:lastColumn="0" w:oddVBand="0" w:evenVBand="0" w:oddHBand="1" w:evenHBand="0" w:firstRowFirstColumn="0" w:firstRowLastColumn="0" w:lastRowFirstColumn="0" w:lastRowLastColumn="0"/>
            </w:pPr>
            <w:r>
              <w:t>Extracted nucleic acid from any source</w:t>
            </w:r>
          </w:p>
        </w:tc>
        <w:tc>
          <w:tcPr>
            <w:tcW w:w="3827" w:type="dxa"/>
            <w:vAlign w:val="center"/>
          </w:tcPr>
          <w:p w:rsidR="00657541" w:rsidRPr="009C59DA" w:rsidRDefault="00657541" w:rsidP="00C120A9">
            <w:pPr>
              <w:cnfStyle w:val="000000100000" w:firstRow="0" w:lastRow="0" w:firstColumn="0" w:lastColumn="0" w:oddVBand="0" w:evenVBand="0" w:oddHBand="1" w:evenHBand="0" w:firstRowFirstColumn="0" w:firstRowLastColumn="0" w:lastRowFirstColumn="0" w:lastRowLastColumn="0"/>
            </w:pPr>
            <w:r w:rsidRPr="009C59DA">
              <w:t>No transfection into polio-permissive cells</w:t>
            </w:r>
          </w:p>
        </w:tc>
      </w:tr>
      <w:tr w:rsidR="00657541" w:rsidTr="00C120A9">
        <w:tc>
          <w:tcPr>
            <w:cnfStyle w:val="001000000000" w:firstRow="0" w:lastRow="0" w:firstColumn="1" w:lastColumn="0" w:oddVBand="0" w:evenVBand="0" w:oddHBand="0" w:evenHBand="0" w:firstRowFirstColumn="0" w:firstRowLastColumn="0" w:lastRowFirstColumn="0" w:lastRowLastColumn="0"/>
            <w:tcW w:w="1384" w:type="dxa"/>
            <w:vAlign w:val="center"/>
          </w:tcPr>
          <w:p w:rsidR="00657541" w:rsidRDefault="00657541" w:rsidP="00C120A9">
            <w:r>
              <w:t>Non-PIM</w:t>
            </w:r>
          </w:p>
        </w:tc>
        <w:tc>
          <w:tcPr>
            <w:tcW w:w="4111" w:type="dxa"/>
            <w:vAlign w:val="center"/>
          </w:tcPr>
          <w:p w:rsidR="00657541" w:rsidRDefault="00657541" w:rsidP="00C120A9">
            <w:pPr>
              <w:cnfStyle w:val="000000000000" w:firstRow="0" w:lastRow="0" w:firstColumn="0" w:lastColumn="0" w:oddVBand="0" w:evenVBand="0" w:oddHBand="0" w:evenHBand="0" w:firstRowFirstColumn="0" w:firstRowLastColumn="0" w:lastRowFirstColumn="0" w:lastRowLastColumn="0"/>
            </w:pPr>
            <w:r>
              <w:t xml:space="preserve">CSF, serum/blood, and other clinical materials not listed above; any materials inactivated by a </w:t>
            </w:r>
            <w:r w:rsidRPr="00602C97">
              <w:rPr>
                <w:u w:val="single"/>
              </w:rPr>
              <w:t>validated</w:t>
            </w:r>
            <w:r>
              <w:t xml:space="preserve"> method (e.g. formalin)</w:t>
            </w:r>
          </w:p>
        </w:tc>
        <w:tc>
          <w:tcPr>
            <w:tcW w:w="3827" w:type="dxa"/>
            <w:vAlign w:val="center"/>
          </w:tcPr>
          <w:p w:rsidR="00657541" w:rsidRDefault="00657541" w:rsidP="00C120A9">
            <w:pPr>
              <w:cnfStyle w:val="000000000000" w:firstRow="0" w:lastRow="0" w:firstColumn="0" w:lastColumn="0" w:oddVBand="0" w:evenVBand="0" w:oddHBand="0" w:evenHBand="0" w:firstRowFirstColumn="0" w:firstRowLastColumn="0" w:lastRowFirstColumn="0" w:lastRowLastColumn="0"/>
            </w:pPr>
            <w:r>
              <w:t>Not applicable</w:t>
            </w:r>
          </w:p>
        </w:tc>
      </w:tr>
    </w:tbl>
    <w:p w:rsidR="009C59DA" w:rsidRDefault="009C59DA" w:rsidP="007C0455">
      <w:pPr>
        <w:rPr>
          <w:sz w:val="24"/>
          <w:szCs w:val="24"/>
        </w:rPr>
      </w:pPr>
    </w:p>
    <w:p w:rsidR="005731A0" w:rsidRDefault="003814CC" w:rsidP="00750AE5">
      <w:pPr>
        <w:rPr>
          <w:sz w:val="24"/>
          <w:szCs w:val="24"/>
        </w:rPr>
      </w:pPr>
      <w:r>
        <w:rPr>
          <w:sz w:val="24"/>
          <w:szCs w:val="24"/>
        </w:rPr>
        <w:t xml:space="preserve">All facilities that plan to retain </w:t>
      </w:r>
      <w:r w:rsidR="00256247">
        <w:rPr>
          <w:sz w:val="24"/>
          <w:szCs w:val="24"/>
        </w:rPr>
        <w:t xml:space="preserve">OPV/Sabin </w:t>
      </w:r>
      <w:r>
        <w:rPr>
          <w:sz w:val="24"/>
          <w:szCs w:val="24"/>
        </w:rPr>
        <w:t>PIM must declare the</w:t>
      </w:r>
      <w:r w:rsidR="00C26D81">
        <w:rPr>
          <w:sz w:val="24"/>
          <w:szCs w:val="24"/>
        </w:rPr>
        <w:t xml:space="preserve">ir holdings to national authorities and </w:t>
      </w:r>
      <w:r w:rsidRPr="003814CC">
        <w:rPr>
          <w:sz w:val="24"/>
          <w:szCs w:val="24"/>
        </w:rPr>
        <w:t xml:space="preserve">maintain </w:t>
      </w:r>
      <w:r>
        <w:rPr>
          <w:sz w:val="24"/>
          <w:szCs w:val="24"/>
        </w:rPr>
        <w:t xml:space="preserve">a </w:t>
      </w:r>
      <w:r w:rsidRPr="003814CC">
        <w:rPr>
          <w:sz w:val="24"/>
          <w:szCs w:val="24"/>
        </w:rPr>
        <w:t>working inventory</w:t>
      </w:r>
      <w:r>
        <w:rPr>
          <w:sz w:val="24"/>
          <w:szCs w:val="24"/>
        </w:rPr>
        <w:t xml:space="preserve"> of </w:t>
      </w:r>
      <w:r w:rsidR="00C26D81">
        <w:rPr>
          <w:sz w:val="24"/>
          <w:szCs w:val="24"/>
        </w:rPr>
        <w:t>materials in their possession.</w:t>
      </w:r>
      <w:r w:rsidR="00256247">
        <w:rPr>
          <w:sz w:val="24"/>
          <w:szCs w:val="24"/>
        </w:rPr>
        <w:t xml:space="preserve"> All PIM and derived </w:t>
      </w:r>
      <w:r w:rsidR="00750AE5">
        <w:rPr>
          <w:sz w:val="24"/>
          <w:szCs w:val="24"/>
        </w:rPr>
        <w:t xml:space="preserve">materials should be </w:t>
      </w:r>
      <w:r w:rsidR="00D12AF2">
        <w:rPr>
          <w:sz w:val="24"/>
          <w:szCs w:val="24"/>
        </w:rPr>
        <w:t xml:space="preserve">stored </w:t>
      </w:r>
      <w:r w:rsidR="00750AE5">
        <w:rPr>
          <w:sz w:val="24"/>
          <w:szCs w:val="24"/>
        </w:rPr>
        <w:t>securely</w:t>
      </w:r>
      <w:r w:rsidR="00D12AF2">
        <w:rPr>
          <w:sz w:val="24"/>
          <w:szCs w:val="24"/>
        </w:rPr>
        <w:t>,</w:t>
      </w:r>
      <w:r w:rsidR="00750AE5">
        <w:rPr>
          <w:sz w:val="24"/>
          <w:szCs w:val="24"/>
        </w:rPr>
        <w:t xml:space="preserve"> with access restricted to staff </w:t>
      </w:r>
      <w:r w:rsidR="00B85BC4">
        <w:rPr>
          <w:sz w:val="24"/>
          <w:szCs w:val="24"/>
        </w:rPr>
        <w:t>that</w:t>
      </w:r>
      <w:r w:rsidR="00750AE5">
        <w:rPr>
          <w:sz w:val="24"/>
          <w:szCs w:val="24"/>
        </w:rPr>
        <w:t xml:space="preserve"> are specifically trained to work with such materials.</w:t>
      </w:r>
      <w:r w:rsidR="00D65CC8">
        <w:rPr>
          <w:sz w:val="24"/>
          <w:szCs w:val="24"/>
        </w:rPr>
        <w:t xml:space="preserve"> </w:t>
      </w:r>
    </w:p>
    <w:p w:rsidR="00750AE5" w:rsidRDefault="00D65CC8" w:rsidP="00750AE5">
      <w:pPr>
        <w:rPr>
          <w:sz w:val="24"/>
          <w:szCs w:val="24"/>
        </w:rPr>
      </w:pPr>
      <w:r>
        <w:rPr>
          <w:sz w:val="24"/>
          <w:szCs w:val="24"/>
        </w:rPr>
        <w:t xml:space="preserve">An algorithm for handling OPV/Sabin PIM is described in Table 2. </w:t>
      </w:r>
    </w:p>
    <w:p w:rsidR="000B72D0" w:rsidRDefault="00C120A9" w:rsidP="00C120A9">
      <w:pPr>
        <w:tabs>
          <w:tab w:val="left" w:pos="1440"/>
        </w:tabs>
        <w:rPr>
          <w:sz w:val="24"/>
          <w:szCs w:val="24"/>
        </w:rPr>
      </w:pPr>
      <w:r>
        <w:rPr>
          <w:sz w:val="24"/>
          <w:szCs w:val="24"/>
        </w:rPr>
        <w:tab/>
      </w:r>
    </w:p>
    <w:p w:rsidR="000B72D0" w:rsidRDefault="000B72D0" w:rsidP="006F42BD">
      <w:pPr>
        <w:pStyle w:val="TableParagraph"/>
      </w:pPr>
      <w:r>
        <w:t xml:space="preserve">Table 2: Algorithm for handling OPV/Sabin poliovirus potentially infectious materials </w:t>
      </w:r>
      <w:r w:rsidR="00B85BC4">
        <w:rPr>
          <w:rStyle w:val="FootnoteReference"/>
        </w:rPr>
        <w:footnoteReference w:id="1"/>
      </w:r>
    </w:p>
    <w:p w:rsidR="006F42BD" w:rsidRPr="006F42BD" w:rsidRDefault="006F42BD" w:rsidP="006F42BD">
      <w:pPr>
        <w:pStyle w:val="TableParagraph"/>
      </w:pPr>
    </w:p>
    <w:tbl>
      <w:tblPr>
        <w:tblStyle w:val="MediumGrid3-Accent5"/>
        <w:tblW w:w="0" w:type="auto"/>
        <w:tblLook w:val="04A0" w:firstRow="1" w:lastRow="0" w:firstColumn="1" w:lastColumn="0" w:noHBand="0" w:noVBand="1"/>
      </w:tblPr>
      <w:tblGrid>
        <w:gridCol w:w="4361"/>
        <w:gridCol w:w="1247"/>
        <w:gridCol w:w="1247"/>
        <w:gridCol w:w="1247"/>
        <w:gridCol w:w="1247"/>
      </w:tblGrid>
      <w:tr w:rsidR="000B72D0" w:rsidRPr="00162BEF" w:rsidTr="00C12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vAlign w:val="center"/>
          </w:tcPr>
          <w:p w:rsidR="000B72D0" w:rsidRPr="00B85BC4" w:rsidRDefault="000B72D0" w:rsidP="00C120A9">
            <w:pPr>
              <w:jc w:val="center"/>
            </w:pPr>
            <w:r w:rsidRPr="00B85BC4">
              <w:t>Risk Mitigation Strategies</w:t>
            </w:r>
          </w:p>
        </w:tc>
        <w:tc>
          <w:tcPr>
            <w:tcW w:w="1247" w:type="dxa"/>
            <w:vAlign w:val="center"/>
          </w:tcPr>
          <w:p w:rsidR="000B72D0" w:rsidRPr="00B85BC4" w:rsidRDefault="000B72D0" w:rsidP="00B85BC4">
            <w:pPr>
              <w:jc w:val="center"/>
              <w:cnfStyle w:val="100000000000" w:firstRow="1" w:lastRow="0" w:firstColumn="0" w:lastColumn="0" w:oddVBand="0" w:evenVBand="0" w:oddHBand="0" w:evenHBand="0" w:firstRowFirstColumn="0" w:firstRowLastColumn="0" w:lastRowFirstColumn="0" w:lastRowLastColumn="0"/>
            </w:pPr>
            <w:r w:rsidRPr="00B85BC4">
              <w:t>Level 1 Moderate</w:t>
            </w:r>
          </w:p>
        </w:tc>
        <w:tc>
          <w:tcPr>
            <w:tcW w:w="1247" w:type="dxa"/>
            <w:vAlign w:val="center"/>
          </w:tcPr>
          <w:p w:rsidR="000B72D0" w:rsidRPr="00B85BC4" w:rsidRDefault="000B72D0" w:rsidP="00B85BC4">
            <w:pPr>
              <w:jc w:val="center"/>
              <w:cnfStyle w:val="100000000000" w:firstRow="1" w:lastRow="0" w:firstColumn="0" w:lastColumn="0" w:oddVBand="0" w:evenVBand="0" w:oddHBand="0" w:evenHBand="0" w:firstRowFirstColumn="0" w:firstRowLastColumn="0" w:lastRowFirstColumn="0" w:lastRowLastColumn="0"/>
            </w:pPr>
            <w:r w:rsidRPr="00B85BC4">
              <w:t>Level 2</w:t>
            </w:r>
          </w:p>
          <w:p w:rsidR="000B72D0" w:rsidRPr="00B85BC4" w:rsidRDefault="000B72D0" w:rsidP="00B85BC4">
            <w:pPr>
              <w:jc w:val="center"/>
              <w:cnfStyle w:val="100000000000" w:firstRow="1" w:lastRow="0" w:firstColumn="0" w:lastColumn="0" w:oddVBand="0" w:evenVBand="0" w:oddHBand="0" w:evenHBand="0" w:firstRowFirstColumn="0" w:firstRowLastColumn="0" w:lastRowFirstColumn="0" w:lastRowLastColumn="0"/>
            </w:pPr>
            <w:r w:rsidRPr="00B85BC4">
              <w:t>Low</w:t>
            </w:r>
          </w:p>
        </w:tc>
        <w:tc>
          <w:tcPr>
            <w:tcW w:w="1247" w:type="dxa"/>
            <w:vAlign w:val="center"/>
          </w:tcPr>
          <w:p w:rsidR="000B72D0" w:rsidRPr="00B85BC4" w:rsidRDefault="000B72D0" w:rsidP="00B85BC4">
            <w:pPr>
              <w:tabs>
                <w:tab w:val="left" w:pos="480"/>
                <w:tab w:val="center" w:pos="834"/>
              </w:tabs>
              <w:jc w:val="center"/>
              <w:cnfStyle w:val="100000000000" w:firstRow="1" w:lastRow="0" w:firstColumn="0" w:lastColumn="0" w:oddVBand="0" w:evenVBand="0" w:oddHBand="0" w:evenHBand="0" w:firstRowFirstColumn="0" w:firstRowLastColumn="0" w:lastRowFirstColumn="0" w:lastRowLastColumn="0"/>
            </w:pPr>
            <w:r w:rsidRPr="00B85BC4">
              <w:t>Level 3 Lowest</w:t>
            </w:r>
          </w:p>
        </w:tc>
        <w:tc>
          <w:tcPr>
            <w:tcW w:w="1247" w:type="dxa"/>
            <w:vAlign w:val="center"/>
          </w:tcPr>
          <w:p w:rsidR="000B72D0" w:rsidRPr="00B85BC4" w:rsidRDefault="000B72D0" w:rsidP="00B85BC4">
            <w:pPr>
              <w:tabs>
                <w:tab w:val="left" w:pos="480"/>
                <w:tab w:val="center" w:pos="834"/>
              </w:tabs>
              <w:jc w:val="center"/>
              <w:cnfStyle w:val="100000000000" w:firstRow="1" w:lastRow="0" w:firstColumn="0" w:lastColumn="0" w:oddVBand="0" w:evenVBand="0" w:oddHBand="0" w:evenHBand="0" w:firstRowFirstColumn="0" w:firstRowLastColumn="0" w:lastRowFirstColumn="0" w:lastRowLastColumn="0"/>
              <w:rPr>
                <w:vertAlign w:val="superscript"/>
              </w:rPr>
            </w:pPr>
            <w:r w:rsidRPr="00B85BC4">
              <w:t>Storage Only</w:t>
            </w:r>
            <w:r w:rsidR="00B85BC4">
              <w:rPr>
                <w:rStyle w:val="FootnoteReference"/>
              </w:rPr>
              <w:footnoteReference w:id="2"/>
            </w:r>
          </w:p>
        </w:tc>
      </w:tr>
      <w:tr w:rsidR="000B72D0" w:rsidRPr="00162BEF" w:rsidTr="00C12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vAlign w:val="center"/>
          </w:tcPr>
          <w:p w:rsidR="000B72D0" w:rsidRPr="00B85BC4" w:rsidRDefault="000B72D0" w:rsidP="00C120A9">
            <w:r w:rsidRPr="00B85BC4">
              <w:t>Declare PIM in National Survey and maintain working inventory</w:t>
            </w:r>
          </w:p>
        </w:tc>
        <w:tc>
          <w:tcPr>
            <w:tcW w:w="1247" w:type="dxa"/>
            <w:vAlign w:val="center"/>
          </w:tcPr>
          <w:p w:rsidR="000B72D0" w:rsidRPr="00602C97" w:rsidRDefault="00162BEF" w:rsidP="00C120A9">
            <w:pPr>
              <w:jc w:val="center"/>
              <w:cnfStyle w:val="000000100000" w:firstRow="0" w:lastRow="0" w:firstColumn="0" w:lastColumn="0" w:oddVBand="0" w:evenVBand="0" w:oddHBand="1" w:evenHBand="0" w:firstRowFirstColumn="0" w:firstRowLastColumn="0" w:lastRowFirstColumn="0" w:lastRowLastColumn="0"/>
              <w:rPr>
                <w:sz w:val="24"/>
              </w:rPr>
            </w:pPr>
            <w:r w:rsidRPr="00602C97">
              <w:rPr>
                <w:rFonts w:ascii="Wingdings" w:hAnsi="Wingdings"/>
                <w:sz w:val="24"/>
              </w:rPr>
              <w:t></w:t>
            </w:r>
          </w:p>
        </w:tc>
        <w:tc>
          <w:tcPr>
            <w:tcW w:w="1247" w:type="dxa"/>
            <w:vAlign w:val="center"/>
          </w:tcPr>
          <w:p w:rsidR="000B72D0" w:rsidRPr="00602C97" w:rsidRDefault="00162BEF" w:rsidP="00C120A9">
            <w:pPr>
              <w:jc w:val="center"/>
              <w:cnfStyle w:val="000000100000" w:firstRow="0" w:lastRow="0" w:firstColumn="0" w:lastColumn="0" w:oddVBand="0" w:evenVBand="0" w:oddHBand="1" w:evenHBand="0" w:firstRowFirstColumn="0" w:firstRowLastColumn="0" w:lastRowFirstColumn="0" w:lastRowLastColumn="0"/>
              <w:rPr>
                <w:sz w:val="24"/>
              </w:rPr>
            </w:pPr>
            <w:r w:rsidRPr="00602C97">
              <w:rPr>
                <w:rFonts w:ascii="Wingdings" w:hAnsi="Wingdings"/>
                <w:sz w:val="24"/>
              </w:rPr>
              <w:t></w:t>
            </w:r>
          </w:p>
        </w:tc>
        <w:tc>
          <w:tcPr>
            <w:tcW w:w="1247" w:type="dxa"/>
            <w:vAlign w:val="center"/>
          </w:tcPr>
          <w:p w:rsidR="000B72D0" w:rsidRPr="00602C97" w:rsidRDefault="00162BEF" w:rsidP="00C120A9">
            <w:pPr>
              <w:jc w:val="center"/>
              <w:cnfStyle w:val="000000100000" w:firstRow="0" w:lastRow="0" w:firstColumn="0" w:lastColumn="0" w:oddVBand="0" w:evenVBand="0" w:oddHBand="1" w:evenHBand="0" w:firstRowFirstColumn="0" w:firstRowLastColumn="0" w:lastRowFirstColumn="0" w:lastRowLastColumn="0"/>
              <w:rPr>
                <w:sz w:val="24"/>
              </w:rPr>
            </w:pPr>
            <w:r w:rsidRPr="00602C97">
              <w:rPr>
                <w:rFonts w:ascii="Wingdings" w:hAnsi="Wingdings"/>
                <w:sz w:val="24"/>
              </w:rPr>
              <w:t></w:t>
            </w:r>
          </w:p>
        </w:tc>
        <w:tc>
          <w:tcPr>
            <w:tcW w:w="1247" w:type="dxa"/>
            <w:vAlign w:val="center"/>
          </w:tcPr>
          <w:p w:rsidR="000B72D0" w:rsidRPr="00602C97" w:rsidRDefault="00162BEF" w:rsidP="00C120A9">
            <w:pPr>
              <w:jc w:val="center"/>
              <w:cnfStyle w:val="000000100000" w:firstRow="0" w:lastRow="0" w:firstColumn="0" w:lastColumn="0" w:oddVBand="0" w:evenVBand="0" w:oddHBand="1" w:evenHBand="0" w:firstRowFirstColumn="0" w:firstRowLastColumn="0" w:lastRowFirstColumn="0" w:lastRowLastColumn="0"/>
              <w:rPr>
                <w:sz w:val="24"/>
              </w:rPr>
            </w:pPr>
            <w:r w:rsidRPr="00602C97">
              <w:rPr>
                <w:rFonts w:ascii="Wingdings" w:hAnsi="Wingdings"/>
                <w:sz w:val="24"/>
              </w:rPr>
              <w:t></w:t>
            </w:r>
          </w:p>
        </w:tc>
      </w:tr>
      <w:tr w:rsidR="000B72D0" w:rsidRPr="00162BEF" w:rsidTr="00C120A9">
        <w:trPr>
          <w:trHeight w:val="539"/>
        </w:trPr>
        <w:tc>
          <w:tcPr>
            <w:cnfStyle w:val="001000000000" w:firstRow="0" w:lastRow="0" w:firstColumn="1" w:lastColumn="0" w:oddVBand="0" w:evenVBand="0" w:oddHBand="0" w:evenHBand="0" w:firstRowFirstColumn="0" w:firstRowLastColumn="0" w:lastRowFirstColumn="0" w:lastRowLastColumn="0"/>
            <w:tcW w:w="4361" w:type="dxa"/>
            <w:vAlign w:val="center"/>
          </w:tcPr>
          <w:p w:rsidR="000B72D0" w:rsidRPr="00B85BC4" w:rsidRDefault="000B72D0" w:rsidP="00C120A9">
            <w:r w:rsidRPr="00B85BC4">
              <w:t>Biosecurity (locked freezers, limited access)</w:t>
            </w:r>
          </w:p>
        </w:tc>
        <w:tc>
          <w:tcPr>
            <w:tcW w:w="1247" w:type="dxa"/>
            <w:vAlign w:val="center"/>
          </w:tcPr>
          <w:p w:rsidR="000B72D0" w:rsidRPr="00602C97" w:rsidRDefault="00162BEF" w:rsidP="00C120A9">
            <w:pPr>
              <w:jc w:val="center"/>
              <w:cnfStyle w:val="000000000000" w:firstRow="0" w:lastRow="0" w:firstColumn="0" w:lastColumn="0" w:oddVBand="0" w:evenVBand="0" w:oddHBand="0" w:evenHBand="0" w:firstRowFirstColumn="0" w:firstRowLastColumn="0" w:lastRowFirstColumn="0" w:lastRowLastColumn="0"/>
              <w:rPr>
                <w:sz w:val="24"/>
              </w:rPr>
            </w:pPr>
            <w:r w:rsidRPr="00602C97">
              <w:rPr>
                <w:rFonts w:ascii="Wingdings" w:hAnsi="Wingdings"/>
                <w:sz w:val="24"/>
              </w:rPr>
              <w:t></w:t>
            </w:r>
          </w:p>
        </w:tc>
        <w:tc>
          <w:tcPr>
            <w:tcW w:w="1247" w:type="dxa"/>
            <w:vAlign w:val="center"/>
          </w:tcPr>
          <w:p w:rsidR="000B72D0" w:rsidRPr="00602C97" w:rsidRDefault="00162BEF" w:rsidP="00C120A9">
            <w:pPr>
              <w:jc w:val="center"/>
              <w:cnfStyle w:val="000000000000" w:firstRow="0" w:lastRow="0" w:firstColumn="0" w:lastColumn="0" w:oddVBand="0" w:evenVBand="0" w:oddHBand="0" w:evenHBand="0" w:firstRowFirstColumn="0" w:firstRowLastColumn="0" w:lastRowFirstColumn="0" w:lastRowLastColumn="0"/>
              <w:rPr>
                <w:sz w:val="24"/>
              </w:rPr>
            </w:pPr>
            <w:r w:rsidRPr="00602C97">
              <w:rPr>
                <w:rFonts w:ascii="Wingdings" w:hAnsi="Wingdings"/>
                <w:sz w:val="24"/>
              </w:rPr>
              <w:t></w:t>
            </w:r>
          </w:p>
        </w:tc>
        <w:tc>
          <w:tcPr>
            <w:tcW w:w="1247" w:type="dxa"/>
            <w:vAlign w:val="center"/>
          </w:tcPr>
          <w:p w:rsidR="000B72D0" w:rsidRPr="00602C97" w:rsidRDefault="00162BEF" w:rsidP="00C120A9">
            <w:pPr>
              <w:jc w:val="center"/>
              <w:cnfStyle w:val="000000000000" w:firstRow="0" w:lastRow="0" w:firstColumn="0" w:lastColumn="0" w:oddVBand="0" w:evenVBand="0" w:oddHBand="0" w:evenHBand="0" w:firstRowFirstColumn="0" w:firstRowLastColumn="0" w:lastRowFirstColumn="0" w:lastRowLastColumn="0"/>
              <w:rPr>
                <w:sz w:val="24"/>
              </w:rPr>
            </w:pPr>
            <w:r w:rsidRPr="00602C97">
              <w:rPr>
                <w:rFonts w:ascii="Wingdings" w:hAnsi="Wingdings"/>
                <w:sz w:val="24"/>
              </w:rPr>
              <w:t></w:t>
            </w:r>
          </w:p>
        </w:tc>
        <w:tc>
          <w:tcPr>
            <w:tcW w:w="1247" w:type="dxa"/>
            <w:vAlign w:val="center"/>
          </w:tcPr>
          <w:p w:rsidR="000B72D0" w:rsidRPr="00602C97" w:rsidRDefault="00162BEF" w:rsidP="00C120A9">
            <w:pPr>
              <w:jc w:val="center"/>
              <w:cnfStyle w:val="000000000000" w:firstRow="0" w:lastRow="0" w:firstColumn="0" w:lastColumn="0" w:oddVBand="0" w:evenVBand="0" w:oddHBand="0" w:evenHBand="0" w:firstRowFirstColumn="0" w:firstRowLastColumn="0" w:lastRowFirstColumn="0" w:lastRowLastColumn="0"/>
              <w:rPr>
                <w:sz w:val="24"/>
              </w:rPr>
            </w:pPr>
            <w:r>
              <w:rPr>
                <w:rFonts w:ascii="Wingdings" w:hAnsi="Wingdings"/>
              </w:rPr>
              <w:t></w:t>
            </w:r>
          </w:p>
        </w:tc>
      </w:tr>
      <w:tr w:rsidR="000B72D0" w:rsidRPr="00162BEF" w:rsidTr="00C12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vAlign w:val="center"/>
          </w:tcPr>
          <w:p w:rsidR="000B72D0" w:rsidRPr="00B85BC4" w:rsidRDefault="000B72D0" w:rsidP="00C120A9">
            <w:r w:rsidRPr="00B85BC4">
              <w:t>Good laboratory/microbiological practices, including documentation and validation of methods/SOPs</w:t>
            </w:r>
          </w:p>
        </w:tc>
        <w:tc>
          <w:tcPr>
            <w:tcW w:w="1247" w:type="dxa"/>
            <w:vAlign w:val="center"/>
          </w:tcPr>
          <w:p w:rsidR="000B72D0" w:rsidRPr="00602C97" w:rsidRDefault="00162BEF" w:rsidP="00C120A9">
            <w:pPr>
              <w:jc w:val="center"/>
              <w:cnfStyle w:val="000000100000" w:firstRow="0" w:lastRow="0" w:firstColumn="0" w:lastColumn="0" w:oddVBand="0" w:evenVBand="0" w:oddHBand="1" w:evenHBand="0" w:firstRowFirstColumn="0" w:firstRowLastColumn="0" w:lastRowFirstColumn="0" w:lastRowLastColumn="0"/>
              <w:rPr>
                <w:sz w:val="24"/>
              </w:rPr>
            </w:pPr>
            <w:r>
              <w:rPr>
                <w:rFonts w:ascii="Wingdings" w:hAnsi="Wingdings"/>
              </w:rPr>
              <w:t></w:t>
            </w:r>
          </w:p>
        </w:tc>
        <w:tc>
          <w:tcPr>
            <w:tcW w:w="1247" w:type="dxa"/>
            <w:vAlign w:val="center"/>
          </w:tcPr>
          <w:p w:rsidR="000B72D0" w:rsidRPr="00602C97" w:rsidRDefault="00162BEF" w:rsidP="00C120A9">
            <w:pPr>
              <w:jc w:val="center"/>
              <w:cnfStyle w:val="000000100000" w:firstRow="0" w:lastRow="0" w:firstColumn="0" w:lastColumn="0" w:oddVBand="0" w:evenVBand="0" w:oddHBand="1" w:evenHBand="0" w:firstRowFirstColumn="0" w:firstRowLastColumn="0" w:lastRowFirstColumn="0" w:lastRowLastColumn="0"/>
              <w:rPr>
                <w:sz w:val="24"/>
              </w:rPr>
            </w:pPr>
            <w:r>
              <w:rPr>
                <w:rFonts w:ascii="Wingdings" w:hAnsi="Wingdings"/>
              </w:rPr>
              <w:t></w:t>
            </w:r>
          </w:p>
        </w:tc>
        <w:tc>
          <w:tcPr>
            <w:tcW w:w="1247" w:type="dxa"/>
            <w:vAlign w:val="center"/>
          </w:tcPr>
          <w:p w:rsidR="000B72D0" w:rsidRPr="00602C97" w:rsidRDefault="00162BEF" w:rsidP="00C120A9">
            <w:pPr>
              <w:jc w:val="center"/>
              <w:cnfStyle w:val="000000100000" w:firstRow="0" w:lastRow="0" w:firstColumn="0" w:lastColumn="0" w:oddVBand="0" w:evenVBand="0" w:oddHBand="1" w:evenHBand="0" w:firstRowFirstColumn="0" w:firstRowLastColumn="0" w:lastRowFirstColumn="0" w:lastRowLastColumn="0"/>
              <w:rPr>
                <w:sz w:val="24"/>
              </w:rPr>
            </w:pPr>
            <w:r>
              <w:rPr>
                <w:rFonts w:ascii="Wingdings" w:hAnsi="Wingdings"/>
              </w:rPr>
              <w:t></w:t>
            </w:r>
          </w:p>
        </w:tc>
        <w:tc>
          <w:tcPr>
            <w:tcW w:w="1247" w:type="dxa"/>
            <w:vAlign w:val="center"/>
          </w:tcPr>
          <w:p w:rsidR="000B72D0" w:rsidRPr="00602C97" w:rsidRDefault="000B72D0" w:rsidP="00C120A9">
            <w:pPr>
              <w:jc w:val="center"/>
              <w:cnfStyle w:val="000000100000" w:firstRow="0" w:lastRow="0" w:firstColumn="0" w:lastColumn="0" w:oddVBand="0" w:evenVBand="0" w:oddHBand="1" w:evenHBand="0" w:firstRowFirstColumn="0" w:firstRowLastColumn="0" w:lastRowFirstColumn="0" w:lastRowLastColumn="0"/>
              <w:rPr>
                <w:sz w:val="24"/>
              </w:rPr>
            </w:pPr>
            <w:r w:rsidRPr="00602C97">
              <w:rPr>
                <w:sz w:val="24"/>
              </w:rPr>
              <w:t>n/a</w:t>
            </w:r>
          </w:p>
        </w:tc>
      </w:tr>
      <w:tr w:rsidR="000B72D0" w:rsidRPr="00162BEF" w:rsidTr="00C120A9">
        <w:tc>
          <w:tcPr>
            <w:cnfStyle w:val="001000000000" w:firstRow="0" w:lastRow="0" w:firstColumn="1" w:lastColumn="0" w:oddVBand="0" w:evenVBand="0" w:oddHBand="0" w:evenHBand="0" w:firstRowFirstColumn="0" w:firstRowLastColumn="0" w:lastRowFirstColumn="0" w:lastRowLastColumn="0"/>
            <w:tcW w:w="4361" w:type="dxa"/>
            <w:vAlign w:val="center"/>
          </w:tcPr>
          <w:p w:rsidR="000B72D0" w:rsidRPr="00B85BC4" w:rsidRDefault="000B72D0" w:rsidP="00C120A9">
            <w:r w:rsidRPr="00B85BC4">
              <w:t>Risk assessment for specific procedures being used</w:t>
            </w:r>
          </w:p>
        </w:tc>
        <w:tc>
          <w:tcPr>
            <w:tcW w:w="1247" w:type="dxa"/>
            <w:vAlign w:val="center"/>
          </w:tcPr>
          <w:p w:rsidR="000B72D0" w:rsidRPr="00602C97" w:rsidRDefault="00162BEF" w:rsidP="00C120A9">
            <w:pPr>
              <w:jc w:val="center"/>
              <w:cnfStyle w:val="000000000000" w:firstRow="0" w:lastRow="0" w:firstColumn="0" w:lastColumn="0" w:oddVBand="0" w:evenVBand="0" w:oddHBand="0" w:evenHBand="0" w:firstRowFirstColumn="0" w:firstRowLastColumn="0" w:lastRowFirstColumn="0" w:lastRowLastColumn="0"/>
              <w:rPr>
                <w:sz w:val="24"/>
              </w:rPr>
            </w:pPr>
            <w:r>
              <w:rPr>
                <w:rFonts w:ascii="Wingdings" w:hAnsi="Wingdings"/>
              </w:rPr>
              <w:t></w:t>
            </w:r>
          </w:p>
        </w:tc>
        <w:tc>
          <w:tcPr>
            <w:tcW w:w="1247" w:type="dxa"/>
            <w:vAlign w:val="center"/>
          </w:tcPr>
          <w:p w:rsidR="000B72D0" w:rsidRPr="00602C97" w:rsidRDefault="00162BEF" w:rsidP="00C120A9">
            <w:pPr>
              <w:jc w:val="center"/>
              <w:cnfStyle w:val="000000000000" w:firstRow="0" w:lastRow="0" w:firstColumn="0" w:lastColumn="0" w:oddVBand="0" w:evenVBand="0" w:oddHBand="0" w:evenHBand="0" w:firstRowFirstColumn="0" w:firstRowLastColumn="0" w:lastRowFirstColumn="0" w:lastRowLastColumn="0"/>
              <w:rPr>
                <w:sz w:val="24"/>
              </w:rPr>
            </w:pPr>
            <w:r>
              <w:rPr>
                <w:rFonts w:ascii="Wingdings" w:hAnsi="Wingdings"/>
              </w:rPr>
              <w:t></w:t>
            </w:r>
          </w:p>
        </w:tc>
        <w:tc>
          <w:tcPr>
            <w:tcW w:w="1247" w:type="dxa"/>
            <w:vAlign w:val="center"/>
          </w:tcPr>
          <w:p w:rsidR="000B72D0" w:rsidRPr="00602C97" w:rsidRDefault="00162BEF" w:rsidP="00C120A9">
            <w:pPr>
              <w:jc w:val="center"/>
              <w:cnfStyle w:val="000000000000" w:firstRow="0" w:lastRow="0" w:firstColumn="0" w:lastColumn="0" w:oddVBand="0" w:evenVBand="0" w:oddHBand="0" w:evenHBand="0" w:firstRowFirstColumn="0" w:firstRowLastColumn="0" w:lastRowFirstColumn="0" w:lastRowLastColumn="0"/>
              <w:rPr>
                <w:sz w:val="24"/>
              </w:rPr>
            </w:pPr>
            <w:r>
              <w:rPr>
                <w:rFonts w:ascii="Wingdings" w:hAnsi="Wingdings"/>
              </w:rPr>
              <w:t></w:t>
            </w:r>
          </w:p>
        </w:tc>
        <w:tc>
          <w:tcPr>
            <w:tcW w:w="1247" w:type="dxa"/>
            <w:vAlign w:val="center"/>
          </w:tcPr>
          <w:p w:rsidR="000B72D0" w:rsidRPr="00602C97" w:rsidRDefault="000B72D0" w:rsidP="00C120A9">
            <w:pPr>
              <w:jc w:val="center"/>
              <w:cnfStyle w:val="000000000000" w:firstRow="0" w:lastRow="0" w:firstColumn="0" w:lastColumn="0" w:oddVBand="0" w:evenVBand="0" w:oddHBand="0" w:evenHBand="0" w:firstRowFirstColumn="0" w:firstRowLastColumn="0" w:lastRowFirstColumn="0" w:lastRowLastColumn="0"/>
              <w:rPr>
                <w:sz w:val="24"/>
              </w:rPr>
            </w:pPr>
            <w:r w:rsidRPr="00602C97">
              <w:rPr>
                <w:sz w:val="24"/>
              </w:rPr>
              <w:t>n/a</w:t>
            </w:r>
          </w:p>
        </w:tc>
      </w:tr>
      <w:tr w:rsidR="000B72D0" w:rsidRPr="00162BEF" w:rsidTr="00C120A9">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361" w:type="dxa"/>
            <w:vAlign w:val="center"/>
          </w:tcPr>
          <w:p w:rsidR="000B72D0" w:rsidRPr="00B85BC4" w:rsidRDefault="000B72D0" w:rsidP="00C120A9">
            <w:r w:rsidRPr="00B85BC4">
              <w:t xml:space="preserve">Polio immunization </w:t>
            </w:r>
            <w:r w:rsidR="00492CB6" w:rsidRPr="00B85BC4">
              <w:t xml:space="preserve">of </w:t>
            </w:r>
            <w:r w:rsidRPr="00B85BC4">
              <w:t>staff</w:t>
            </w:r>
            <w:r w:rsidR="00492CB6" w:rsidRPr="00B85BC4">
              <w:t xml:space="preserve"> required</w:t>
            </w:r>
          </w:p>
        </w:tc>
        <w:tc>
          <w:tcPr>
            <w:tcW w:w="1247" w:type="dxa"/>
            <w:vAlign w:val="center"/>
          </w:tcPr>
          <w:p w:rsidR="000B72D0" w:rsidRPr="00602C97" w:rsidRDefault="00162BEF" w:rsidP="00C120A9">
            <w:pPr>
              <w:jc w:val="center"/>
              <w:cnfStyle w:val="000000100000" w:firstRow="0" w:lastRow="0" w:firstColumn="0" w:lastColumn="0" w:oddVBand="0" w:evenVBand="0" w:oddHBand="1" w:evenHBand="0" w:firstRowFirstColumn="0" w:firstRowLastColumn="0" w:lastRowFirstColumn="0" w:lastRowLastColumn="0"/>
              <w:rPr>
                <w:sz w:val="24"/>
              </w:rPr>
            </w:pPr>
            <w:r>
              <w:rPr>
                <w:rFonts w:ascii="Wingdings" w:hAnsi="Wingdings"/>
              </w:rPr>
              <w:t></w:t>
            </w:r>
          </w:p>
        </w:tc>
        <w:tc>
          <w:tcPr>
            <w:tcW w:w="1247" w:type="dxa"/>
            <w:vAlign w:val="center"/>
          </w:tcPr>
          <w:p w:rsidR="000B72D0" w:rsidRPr="00602C97" w:rsidRDefault="00162BEF" w:rsidP="00C120A9">
            <w:pPr>
              <w:jc w:val="center"/>
              <w:cnfStyle w:val="000000100000" w:firstRow="0" w:lastRow="0" w:firstColumn="0" w:lastColumn="0" w:oddVBand="0" w:evenVBand="0" w:oddHBand="1" w:evenHBand="0" w:firstRowFirstColumn="0" w:firstRowLastColumn="0" w:lastRowFirstColumn="0" w:lastRowLastColumn="0"/>
              <w:rPr>
                <w:sz w:val="24"/>
              </w:rPr>
            </w:pPr>
            <w:r>
              <w:rPr>
                <w:rFonts w:ascii="Wingdings" w:hAnsi="Wingdings"/>
              </w:rPr>
              <w:t></w:t>
            </w:r>
          </w:p>
        </w:tc>
        <w:tc>
          <w:tcPr>
            <w:tcW w:w="1247" w:type="dxa"/>
            <w:vAlign w:val="center"/>
          </w:tcPr>
          <w:p w:rsidR="000B72D0" w:rsidRPr="00602C97" w:rsidRDefault="00492CB6" w:rsidP="00C120A9">
            <w:pPr>
              <w:jc w:val="center"/>
              <w:cnfStyle w:val="000000100000" w:firstRow="0" w:lastRow="0" w:firstColumn="0" w:lastColumn="0" w:oddVBand="0" w:evenVBand="0" w:oddHBand="1" w:evenHBand="0" w:firstRowFirstColumn="0" w:firstRowLastColumn="0" w:lastRowFirstColumn="0" w:lastRowLastColumn="0"/>
              <w:rPr>
                <w:sz w:val="24"/>
              </w:rPr>
            </w:pPr>
            <w:r w:rsidRPr="0054277D">
              <w:rPr>
                <w:sz w:val="24"/>
              </w:rPr>
              <w:t>n/a</w:t>
            </w:r>
          </w:p>
        </w:tc>
        <w:tc>
          <w:tcPr>
            <w:tcW w:w="1247" w:type="dxa"/>
            <w:vAlign w:val="center"/>
          </w:tcPr>
          <w:p w:rsidR="000B72D0" w:rsidRPr="00602C97" w:rsidRDefault="000B72D0" w:rsidP="00C120A9">
            <w:pPr>
              <w:jc w:val="center"/>
              <w:cnfStyle w:val="000000100000" w:firstRow="0" w:lastRow="0" w:firstColumn="0" w:lastColumn="0" w:oddVBand="0" w:evenVBand="0" w:oddHBand="1" w:evenHBand="0" w:firstRowFirstColumn="0" w:firstRowLastColumn="0" w:lastRowFirstColumn="0" w:lastRowLastColumn="0"/>
              <w:rPr>
                <w:sz w:val="24"/>
              </w:rPr>
            </w:pPr>
            <w:r w:rsidRPr="00602C97">
              <w:rPr>
                <w:sz w:val="24"/>
              </w:rPr>
              <w:t>n/a</w:t>
            </w:r>
          </w:p>
        </w:tc>
      </w:tr>
      <w:tr w:rsidR="00492CB6" w:rsidRPr="00162BEF" w:rsidTr="00C120A9">
        <w:trPr>
          <w:trHeight w:val="539"/>
        </w:trPr>
        <w:tc>
          <w:tcPr>
            <w:cnfStyle w:val="001000000000" w:firstRow="0" w:lastRow="0" w:firstColumn="1" w:lastColumn="0" w:oddVBand="0" w:evenVBand="0" w:oddHBand="0" w:evenHBand="0" w:firstRowFirstColumn="0" w:firstRowLastColumn="0" w:lastRowFirstColumn="0" w:lastRowLastColumn="0"/>
            <w:tcW w:w="4361" w:type="dxa"/>
            <w:vAlign w:val="center"/>
          </w:tcPr>
          <w:p w:rsidR="00492CB6" w:rsidRPr="00B85BC4" w:rsidRDefault="00492CB6" w:rsidP="00C120A9">
            <w:r w:rsidRPr="00B85BC4">
              <w:t>Polio immunization of staff recommended</w:t>
            </w:r>
          </w:p>
        </w:tc>
        <w:tc>
          <w:tcPr>
            <w:tcW w:w="1247" w:type="dxa"/>
            <w:vAlign w:val="center"/>
          </w:tcPr>
          <w:p w:rsidR="00492CB6" w:rsidRDefault="00492CB6" w:rsidP="00C120A9">
            <w:pPr>
              <w:jc w:val="center"/>
              <w:cnfStyle w:val="000000000000" w:firstRow="0" w:lastRow="0" w:firstColumn="0" w:lastColumn="0" w:oddVBand="0" w:evenVBand="0" w:oddHBand="0" w:evenHBand="0" w:firstRowFirstColumn="0" w:firstRowLastColumn="0" w:lastRowFirstColumn="0" w:lastRowLastColumn="0"/>
              <w:rPr>
                <w:rFonts w:ascii="Wingdings" w:hAnsi="Wingdings"/>
              </w:rPr>
            </w:pPr>
            <w:r w:rsidRPr="0054277D">
              <w:rPr>
                <w:sz w:val="24"/>
              </w:rPr>
              <w:t>n/a</w:t>
            </w:r>
          </w:p>
        </w:tc>
        <w:tc>
          <w:tcPr>
            <w:tcW w:w="1247" w:type="dxa"/>
            <w:vAlign w:val="center"/>
          </w:tcPr>
          <w:p w:rsidR="00492CB6" w:rsidRDefault="00492CB6" w:rsidP="00C120A9">
            <w:pPr>
              <w:jc w:val="center"/>
              <w:cnfStyle w:val="000000000000" w:firstRow="0" w:lastRow="0" w:firstColumn="0" w:lastColumn="0" w:oddVBand="0" w:evenVBand="0" w:oddHBand="0" w:evenHBand="0" w:firstRowFirstColumn="0" w:firstRowLastColumn="0" w:lastRowFirstColumn="0" w:lastRowLastColumn="0"/>
              <w:rPr>
                <w:rFonts w:ascii="Wingdings" w:hAnsi="Wingdings"/>
              </w:rPr>
            </w:pPr>
            <w:r w:rsidRPr="0054277D">
              <w:rPr>
                <w:sz w:val="24"/>
              </w:rPr>
              <w:t>n/a</w:t>
            </w:r>
          </w:p>
        </w:tc>
        <w:tc>
          <w:tcPr>
            <w:tcW w:w="1247" w:type="dxa"/>
            <w:vAlign w:val="center"/>
          </w:tcPr>
          <w:p w:rsidR="00492CB6" w:rsidRDefault="00492CB6" w:rsidP="00C120A9">
            <w:pPr>
              <w:jc w:val="center"/>
              <w:cnfStyle w:val="000000000000" w:firstRow="0" w:lastRow="0" w:firstColumn="0" w:lastColumn="0" w:oddVBand="0" w:evenVBand="0" w:oddHBand="0" w:evenHBand="0" w:firstRowFirstColumn="0" w:firstRowLastColumn="0" w:lastRowFirstColumn="0" w:lastRowLastColumn="0"/>
              <w:rPr>
                <w:rFonts w:ascii="Wingdings" w:hAnsi="Wingdings"/>
              </w:rPr>
            </w:pPr>
            <w:r>
              <w:rPr>
                <w:rFonts w:ascii="Wingdings" w:hAnsi="Wingdings"/>
              </w:rPr>
              <w:t></w:t>
            </w:r>
          </w:p>
        </w:tc>
        <w:tc>
          <w:tcPr>
            <w:tcW w:w="1247" w:type="dxa"/>
            <w:vAlign w:val="center"/>
          </w:tcPr>
          <w:p w:rsidR="00492CB6" w:rsidRPr="00602C97" w:rsidRDefault="00492CB6" w:rsidP="00C120A9">
            <w:pPr>
              <w:jc w:val="center"/>
              <w:cnfStyle w:val="000000000000" w:firstRow="0" w:lastRow="0" w:firstColumn="0" w:lastColumn="0" w:oddVBand="0" w:evenVBand="0" w:oddHBand="0" w:evenHBand="0" w:firstRowFirstColumn="0" w:firstRowLastColumn="0" w:lastRowFirstColumn="0" w:lastRowLastColumn="0"/>
              <w:rPr>
                <w:sz w:val="24"/>
              </w:rPr>
            </w:pPr>
            <w:r w:rsidRPr="0054277D">
              <w:rPr>
                <w:sz w:val="24"/>
              </w:rPr>
              <w:t>n/a</w:t>
            </w:r>
          </w:p>
        </w:tc>
      </w:tr>
      <w:tr w:rsidR="000B72D0" w:rsidRPr="00162BEF" w:rsidTr="00C120A9">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361" w:type="dxa"/>
            <w:vAlign w:val="center"/>
          </w:tcPr>
          <w:p w:rsidR="000B72D0" w:rsidRPr="00B85BC4" w:rsidRDefault="000B72D0" w:rsidP="00C120A9">
            <w:r w:rsidRPr="00B85BC4">
              <w:t>Accreditation to a national or international quality standard</w:t>
            </w:r>
          </w:p>
        </w:tc>
        <w:tc>
          <w:tcPr>
            <w:tcW w:w="1247" w:type="dxa"/>
            <w:vAlign w:val="center"/>
          </w:tcPr>
          <w:p w:rsidR="000B72D0" w:rsidRPr="00602C97" w:rsidRDefault="00162BEF" w:rsidP="00C120A9">
            <w:pPr>
              <w:jc w:val="center"/>
              <w:cnfStyle w:val="000000100000" w:firstRow="0" w:lastRow="0" w:firstColumn="0" w:lastColumn="0" w:oddVBand="0" w:evenVBand="0" w:oddHBand="1" w:evenHBand="0" w:firstRowFirstColumn="0" w:firstRowLastColumn="0" w:lastRowFirstColumn="0" w:lastRowLastColumn="0"/>
              <w:rPr>
                <w:sz w:val="24"/>
              </w:rPr>
            </w:pPr>
            <w:r>
              <w:rPr>
                <w:rFonts w:ascii="Wingdings" w:hAnsi="Wingdings"/>
              </w:rPr>
              <w:t></w:t>
            </w:r>
          </w:p>
        </w:tc>
        <w:tc>
          <w:tcPr>
            <w:tcW w:w="1247" w:type="dxa"/>
            <w:vAlign w:val="center"/>
          </w:tcPr>
          <w:p w:rsidR="000B72D0" w:rsidRPr="00602C97" w:rsidRDefault="000B72D0" w:rsidP="00C120A9">
            <w:pPr>
              <w:jc w:val="center"/>
              <w:cnfStyle w:val="000000100000" w:firstRow="0" w:lastRow="0" w:firstColumn="0" w:lastColumn="0" w:oddVBand="0" w:evenVBand="0" w:oddHBand="1" w:evenHBand="0" w:firstRowFirstColumn="0" w:firstRowLastColumn="0" w:lastRowFirstColumn="0" w:lastRowLastColumn="0"/>
              <w:rPr>
                <w:sz w:val="24"/>
              </w:rPr>
            </w:pPr>
            <w:r w:rsidRPr="00602C97">
              <w:rPr>
                <w:sz w:val="24"/>
              </w:rPr>
              <w:t>n/a</w:t>
            </w:r>
          </w:p>
        </w:tc>
        <w:tc>
          <w:tcPr>
            <w:tcW w:w="1247" w:type="dxa"/>
            <w:vAlign w:val="center"/>
          </w:tcPr>
          <w:p w:rsidR="000B72D0" w:rsidRPr="00602C97" w:rsidRDefault="000B72D0" w:rsidP="00C120A9">
            <w:pPr>
              <w:jc w:val="center"/>
              <w:cnfStyle w:val="000000100000" w:firstRow="0" w:lastRow="0" w:firstColumn="0" w:lastColumn="0" w:oddVBand="0" w:evenVBand="0" w:oddHBand="1" w:evenHBand="0" w:firstRowFirstColumn="0" w:firstRowLastColumn="0" w:lastRowFirstColumn="0" w:lastRowLastColumn="0"/>
              <w:rPr>
                <w:sz w:val="24"/>
              </w:rPr>
            </w:pPr>
            <w:r w:rsidRPr="00602C97">
              <w:rPr>
                <w:sz w:val="24"/>
              </w:rPr>
              <w:t>n/a</w:t>
            </w:r>
          </w:p>
        </w:tc>
        <w:tc>
          <w:tcPr>
            <w:tcW w:w="1247" w:type="dxa"/>
            <w:vAlign w:val="center"/>
          </w:tcPr>
          <w:p w:rsidR="000B72D0" w:rsidRPr="00602C97" w:rsidRDefault="000B72D0" w:rsidP="00C120A9">
            <w:pPr>
              <w:jc w:val="center"/>
              <w:cnfStyle w:val="000000100000" w:firstRow="0" w:lastRow="0" w:firstColumn="0" w:lastColumn="0" w:oddVBand="0" w:evenVBand="0" w:oddHBand="1" w:evenHBand="0" w:firstRowFirstColumn="0" w:firstRowLastColumn="0" w:lastRowFirstColumn="0" w:lastRowLastColumn="0"/>
              <w:rPr>
                <w:sz w:val="24"/>
              </w:rPr>
            </w:pPr>
            <w:r w:rsidRPr="00602C97">
              <w:rPr>
                <w:sz w:val="24"/>
              </w:rPr>
              <w:t>n/a</w:t>
            </w:r>
          </w:p>
        </w:tc>
      </w:tr>
    </w:tbl>
    <w:p w:rsidR="00FB196F" w:rsidRPr="005338A2" w:rsidRDefault="00477E0C" w:rsidP="00C120A9">
      <w:pPr>
        <w:pStyle w:val="Heading3"/>
      </w:pPr>
      <w:bookmarkStart w:id="12" w:name="_Toc492292893"/>
      <w:r>
        <w:lastRenderedPageBreak/>
        <w:t>Level 1</w:t>
      </w:r>
      <w:r w:rsidR="00750AE5">
        <w:t xml:space="preserve">: </w:t>
      </w:r>
      <w:r w:rsidR="00FB196F" w:rsidRPr="005338A2">
        <w:t xml:space="preserve">Guidance for facilities </w:t>
      </w:r>
      <w:r>
        <w:t>with collections in the m</w:t>
      </w:r>
      <w:r w:rsidR="00FB196F" w:rsidRPr="005338A2">
        <w:t>oderate group</w:t>
      </w:r>
      <w:bookmarkEnd w:id="12"/>
    </w:p>
    <w:p w:rsidR="00FB196F" w:rsidRDefault="00FB196F" w:rsidP="00FB196F">
      <w:pPr>
        <w:rPr>
          <w:sz w:val="24"/>
          <w:szCs w:val="24"/>
        </w:rPr>
      </w:pPr>
      <w:r w:rsidRPr="006A4973">
        <w:rPr>
          <w:sz w:val="24"/>
          <w:szCs w:val="24"/>
        </w:rPr>
        <w:t>In a non-</w:t>
      </w:r>
      <w:r w:rsidR="00C26D81">
        <w:rPr>
          <w:sz w:val="24"/>
          <w:szCs w:val="24"/>
        </w:rPr>
        <w:t>PV</w:t>
      </w:r>
      <w:r w:rsidRPr="006A4973">
        <w:rPr>
          <w:sz w:val="24"/>
          <w:szCs w:val="24"/>
        </w:rPr>
        <w:t xml:space="preserve"> facility handling </w:t>
      </w:r>
      <w:r w:rsidR="00337F7C" w:rsidRPr="00C120A9">
        <w:rPr>
          <w:sz w:val="24"/>
          <w:szCs w:val="24"/>
        </w:rPr>
        <w:t>OPV/</w:t>
      </w:r>
      <w:r w:rsidRPr="00C120A9">
        <w:rPr>
          <w:sz w:val="24"/>
          <w:szCs w:val="24"/>
        </w:rPr>
        <w:t>Sabin PIM</w:t>
      </w:r>
      <w:r w:rsidRPr="006A4973">
        <w:rPr>
          <w:sz w:val="24"/>
          <w:szCs w:val="24"/>
        </w:rPr>
        <w:t>, inoculation of fecal samples or sewa</w:t>
      </w:r>
      <w:r w:rsidR="00C26D81">
        <w:rPr>
          <w:sz w:val="24"/>
          <w:szCs w:val="24"/>
        </w:rPr>
        <w:t xml:space="preserve">ge concentrates </w:t>
      </w:r>
      <w:r w:rsidR="00162BEF">
        <w:rPr>
          <w:sz w:val="24"/>
          <w:szCs w:val="24"/>
        </w:rPr>
        <w:t xml:space="preserve">or transfection of nucleic acid derived from such material </w:t>
      </w:r>
      <w:r w:rsidR="00C26D81">
        <w:rPr>
          <w:sz w:val="24"/>
          <w:szCs w:val="24"/>
        </w:rPr>
        <w:t>into PV</w:t>
      </w:r>
      <w:r w:rsidR="00850646" w:rsidRPr="00850646">
        <w:rPr>
          <w:sz w:val="24"/>
          <w:szCs w:val="24"/>
        </w:rPr>
        <w:t xml:space="preserve"> </w:t>
      </w:r>
      <w:r w:rsidR="00850646">
        <w:rPr>
          <w:sz w:val="24"/>
          <w:szCs w:val="24"/>
        </w:rPr>
        <w:t>permissive</w:t>
      </w:r>
      <w:r w:rsidR="00850646" w:rsidRPr="006A4973">
        <w:rPr>
          <w:sz w:val="24"/>
          <w:szCs w:val="24"/>
        </w:rPr>
        <w:t xml:space="preserve"> </w:t>
      </w:r>
      <w:r w:rsidRPr="006A4973">
        <w:rPr>
          <w:sz w:val="24"/>
          <w:szCs w:val="24"/>
        </w:rPr>
        <w:t>cell lines (</w:t>
      </w:r>
      <w:r w:rsidR="00C26D81">
        <w:rPr>
          <w:sz w:val="24"/>
          <w:szCs w:val="24"/>
        </w:rPr>
        <w:t>Annex</w:t>
      </w:r>
      <w:r w:rsidR="006F773E">
        <w:rPr>
          <w:sz w:val="24"/>
          <w:szCs w:val="24"/>
        </w:rPr>
        <w:t xml:space="preserve"> </w:t>
      </w:r>
      <w:r w:rsidR="001734EB">
        <w:rPr>
          <w:sz w:val="24"/>
          <w:szCs w:val="24"/>
        </w:rPr>
        <w:t>2</w:t>
      </w:r>
      <w:r w:rsidRPr="006A4973">
        <w:rPr>
          <w:sz w:val="24"/>
          <w:szCs w:val="24"/>
        </w:rPr>
        <w:t>) represents the greatest potential risk of inadvertent poliovirus release</w:t>
      </w:r>
      <w:r w:rsidR="00447272">
        <w:rPr>
          <w:sz w:val="24"/>
          <w:szCs w:val="24"/>
        </w:rPr>
        <w:t xml:space="preserve"> (Annex </w:t>
      </w:r>
      <w:r w:rsidR="00B4514E">
        <w:rPr>
          <w:sz w:val="24"/>
          <w:szCs w:val="24"/>
        </w:rPr>
        <w:t>1</w:t>
      </w:r>
      <w:r w:rsidR="00447272">
        <w:rPr>
          <w:sz w:val="24"/>
          <w:szCs w:val="24"/>
        </w:rPr>
        <w:t>)</w:t>
      </w:r>
      <w:r w:rsidRPr="006A4973">
        <w:rPr>
          <w:sz w:val="24"/>
          <w:szCs w:val="24"/>
        </w:rPr>
        <w:t xml:space="preserve">. </w:t>
      </w:r>
      <w:r>
        <w:rPr>
          <w:sz w:val="24"/>
          <w:szCs w:val="24"/>
        </w:rPr>
        <w:t xml:space="preserve">Inoculation </w:t>
      </w:r>
      <w:r w:rsidR="00162BEF">
        <w:rPr>
          <w:sz w:val="24"/>
          <w:szCs w:val="24"/>
        </w:rPr>
        <w:t xml:space="preserve">or transfection </w:t>
      </w:r>
      <w:r>
        <w:rPr>
          <w:sz w:val="24"/>
          <w:szCs w:val="24"/>
        </w:rPr>
        <w:t xml:space="preserve">of PIM into </w:t>
      </w:r>
      <w:r w:rsidR="00C26D81">
        <w:rPr>
          <w:sz w:val="24"/>
          <w:szCs w:val="24"/>
        </w:rPr>
        <w:t>PV</w:t>
      </w:r>
      <w:r>
        <w:rPr>
          <w:sz w:val="24"/>
          <w:szCs w:val="24"/>
        </w:rPr>
        <w:t xml:space="preserve">-permissive cells could </w:t>
      </w:r>
      <w:r w:rsidR="00F34709">
        <w:rPr>
          <w:sz w:val="24"/>
          <w:szCs w:val="24"/>
        </w:rPr>
        <w:t>result in u</w:t>
      </w:r>
      <w:r>
        <w:rPr>
          <w:sz w:val="24"/>
          <w:szCs w:val="24"/>
        </w:rPr>
        <w:t xml:space="preserve">nintentional </w:t>
      </w:r>
      <w:r w:rsidR="00F34709">
        <w:rPr>
          <w:sz w:val="24"/>
          <w:szCs w:val="24"/>
        </w:rPr>
        <w:t>PV amplification</w:t>
      </w:r>
      <w:r>
        <w:rPr>
          <w:sz w:val="24"/>
          <w:szCs w:val="24"/>
        </w:rPr>
        <w:t xml:space="preserve">, greatly increasing </w:t>
      </w:r>
      <w:r w:rsidR="003A330E">
        <w:rPr>
          <w:sz w:val="24"/>
          <w:szCs w:val="24"/>
        </w:rPr>
        <w:t xml:space="preserve">the </w:t>
      </w:r>
      <w:r>
        <w:rPr>
          <w:sz w:val="24"/>
          <w:szCs w:val="24"/>
        </w:rPr>
        <w:t>risk if undetected.</w:t>
      </w:r>
    </w:p>
    <w:p w:rsidR="00850646" w:rsidRDefault="00447272" w:rsidP="00850646">
      <w:pPr>
        <w:rPr>
          <w:sz w:val="24"/>
          <w:szCs w:val="24"/>
        </w:rPr>
      </w:pPr>
      <w:r>
        <w:rPr>
          <w:sz w:val="24"/>
          <w:szCs w:val="24"/>
        </w:rPr>
        <w:t xml:space="preserve">If inoculation of </w:t>
      </w:r>
      <w:r w:rsidRPr="006A4973">
        <w:rPr>
          <w:sz w:val="24"/>
          <w:szCs w:val="24"/>
        </w:rPr>
        <w:t>fecal samples or sew</w:t>
      </w:r>
      <w:r w:rsidR="00F34709">
        <w:rPr>
          <w:sz w:val="24"/>
          <w:szCs w:val="24"/>
        </w:rPr>
        <w:t xml:space="preserve">age concentrates </w:t>
      </w:r>
      <w:r w:rsidR="00162BEF">
        <w:rPr>
          <w:sz w:val="24"/>
          <w:szCs w:val="24"/>
        </w:rPr>
        <w:t xml:space="preserve">or transfection of nucleic acid from </w:t>
      </w:r>
      <w:r w:rsidR="00337F7C">
        <w:rPr>
          <w:sz w:val="24"/>
          <w:szCs w:val="24"/>
        </w:rPr>
        <w:t>OPV/</w:t>
      </w:r>
      <w:r w:rsidR="00162BEF">
        <w:rPr>
          <w:sz w:val="24"/>
          <w:szCs w:val="24"/>
        </w:rPr>
        <w:t xml:space="preserve">Sabin PIM </w:t>
      </w:r>
      <w:r w:rsidR="00F34709">
        <w:rPr>
          <w:sz w:val="24"/>
          <w:szCs w:val="24"/>
        </w:rPr>
        <w:t>into PV</w:t>
      </w:r>
      <w:r w:rsidRPr="006A4973">
        <w:rPr>
          <w:sz w:val="24"/>
          <w:szCs w:val="24"/>
        </w:rPr>
        <w:t>-</w:t>
      </w:r>
      <w:r w:rsidR="00850646">
        <w:rPr>
          <w:sz w:val="24"/>
          <w:szCs w:val="24"/>
        </w:rPr>
        <w:t>permissive</w:t>
      </w:r>
      <w:r w:rsidR="00850646" w:rsidRPr="006A4973">
        <w:rPr>
          <w:sz w:val="24"/>
          <w:szCs w:val="24"/>
        </w:rPr>
        <w:t xml:space="preserve"> </w:t>
      </w:r>
      <w:r w:rsidRPr="006A4973">
        <w:rPr>
          <w:sz w:val="24"/>
          <w:szCs w:val="24"/>
        </w:rPr>
        <w:t>cell lines</w:t>
      </w:r>
      <w:r w:rsidR="00C26D81">
        <w:rPr>
          <w:sz w:val="24"/>
          <w:szCs w:val="24"/>
        </w:rPr>
        <w:t xml:space="preserve"> is deemed essential</w:t>
      </w:r>
      <w:r>
        <w:rPr>
          <w:sz w:val="24"/>
          <w:szCs w:val="24"/>
        </w:rPr>
        <w:t xml:space="preserve">, e.g. to isolate other viruses of public health </w:t>
      </w:r>
      <w:r w:rsidR="00073B0D">
        <w:rPr>
          <w:sz w:val="24"/>
          <w:szCs w:val="24"/>
        </w:rPr>
        <w:t>importance</w:t>
      </w:r>
      <w:r>
        <w:rPr>
          <w:sz w:val="24"/>
          <w:szCs w:val="24"/>
        </w:rPr>
        <w:t xml:space="preserve"> that replicate in the same cells lines as </w:t>
      </w:r>
      <w:r w:rsidR="00C26D81">
        <w:rPr>
          <w:sz w:val="24"/>
          <w:szCs w:val="24"/>
        </w:rPr>
        <w:t>PV</w:t>
      </w:r>
      <w:r>
        <w:rPr>
          <w:sz w:val="24"/>
          <w:szCs w:val="24"/>
        </w:rPr>
        <w:t xml:space="preserve">, the laboratory and staff </w:t>
      </w:r>
      <w:r w:rsidR="00437850">
        <w:rPr>
          <w:sz w:val="24"/>
          <w:szCs w:val="24"/>
        </w:rPr>
        <w:t>should</w:t>
      </w:r>
      <w:r>
        <w:rPr>
          <w:sz w:val="24"/>
          <w:szCs w:val="24"/>
        </w:rPr>
        <w:t xml:space="preserve"> meet stringent standards of biosafety, biosecurity, and quality assurance (</w:t>
      </w:r>
      <w:r w:rsidR="006F773E">
        <w:rPr>
          <w:sz w:val="24"/>
          <w:szCs w:val="24"/>
        </w:rPr>
        <w:t>Table 2</w:t>
      </w:r>
      <w:r>
        <w:rPr>
          <w:sz w:val="24"/>
          <w:szCs w:val="24"/>
        </w:rPr>
        <w:t>).</w:t>
      </w:r>
      <w:r w:rsidR="00073B0D">
        <w:rPr>
          <w:sz w:val="24"/>
          <w:szCs w:val="24"/>
        </w:rPr>
        <w:t xml:space="preserve"> These include adherence to accepted standards of good laboratory and </w:t>
      </w:r>
      <w:r w:rsidR="00073B0D" w:rsidRPr="00073B0D">
        <w:rPr>
          <w:sz w:val="24"/>
          <w:szCs w:val="24"/>
        </w:rPr>
        <w:t xml:space="preserve">microbiological practices, </w:t>
      </w:r>
      <w:r w:rsidR="00073B0D">
        <w:rPr>
          <w:sz w:val="24"/>
          <w:szCs w:val="24"/>
        </w:rPr>
        <w:t>supported by</w:t>
      </w:r>
      <w:r w:rsidR="00073B0D" w:rsidRPr="00073B0D">
        <w:rPr>
          <w:sz w:val="24"/>
          <w:szCs w:val="24"/>
        </w:rPr>
        <w:t xml:space="preserve"> </w:t>
      </w:r>
      <w:r w:rsidR="00073B0D">
        <w:rPr>
          <w:sz w:val="24"/>
          <w:szCs w:val="24"/>
        </w:rPr>
        <w:t>validation/</w:t>
      </w:r>
      <w:r w:rsidR="00073B0D" w:rsidRPr="00073B0D">
        <w:rPr>
          <w:sz w:val="24"/>
          <w:szCs w:val="24"/>
        </w:rPr>
        <w:t>documentation of methods</w:t>
      </w:r>
      <w:r w:rsidR="00073B0D">
        <w:rPr>
          <w:sz w:val="24"/>
          <w:szCs w:val="24"/>
        </w:rPr>
        <w:t xml:space="preserve"> and written standard operating procedures, and a</w:t>
      </w:r>
      <w:r w:rsidR="00073B0D" w:rsidRPr="00073B0D">
        <w:rPr>
          <w:sz w:val="24"/>
          <w:szCs w:val="24"/>
        </w:rPr>
        <w:t xml:space="preserve">ccreditation to a national or international </w:t>
      </w:r>
      <w:proofErr w:type="spellStart"/>
      <w:r w:rsidR="00C120A9">
        <w:rPr>
          <w:sz w:val="24"/>
          <w:szCs w:val="24"/>
        </w:rPr>
        <w:t>biorisk</w:t>
      </w:r>
      <w:proofErr w:type="spellEnd"/>
      <w:r w:rsidR="00C120A9">
        <w:rPr>
          <w:sz w:val="24"/>
          <w:szCs w:val="24"/>
        </w:rPr>
        <w:t xml:space="preserve"> management</w:t>
      </w:r>
      <w:r w:rsidR="00073B0D" w:rsidRPr="00073B0D">
        <w:rPr>
          <w:sz w:val="24"/>
          <w:szCs w:val="24"/>
        </w:rPr>
        <w:t xml:space="preserve"> standard</w:t>
      </w:r>
      <w:r w:rsidR="00073B0D">
        <w:rPr>
          <w:sz w:val="24"/>
          <w:szCs w:val="24"/>
        </w:rPr>
        <w:t xml:space="preserve">. </w:t>
      </w:r>
      <w:r w:rsidR="00850646">
        <w:rPr>
          <w:sz w:val="24"/>
          <w:szCs w:val="24"/>
        </w:rPr>
        <w:t xml:space="preserve">Rigorous risk assessments should be conducted for all procedures </w:t>
      </w:r>
      <w:r w:rsidR="00F34709">
        <w:rPr>
          <w:sz w:val="24"/>
          <w:szCs w:val="24"/>
        </w:rPr>
        <w:t>that</w:t>
      </w:r>
      <w:r w:rsidR="00850646">
        <w:rPr>
          <w:sz w:val="24"/>
          <w:szCs w:val="24"/>
        </w:rPr>
        <w:t xml:space="preserve"> will be used with </w:t>
      </w:r>
      <w:r w:rsidR="009C7D2B">
        <w:rPr>
          <w:sz w:val="24"/>
          <w:szCs w:val="24"/>
        </w:rPr>
        <w:t xml:space="preserve">PIM </w:t>
      </w:r>
      <w:r w:rsidR="00850646" w:rsidRPr="006A4973">
        <w:rPr>
          <w:sz w:val="24"/>
          <w:szCs w:val="24"/>
        </w:rPr>
        <w:t>fecal samples or sewage concentrates</w:t>
      </w:r>
      <w:r w:rsidR="00850646">
        <w:rPr>
          <w:sz w:val="24"/>
          <w:szCs w:val="24"/>
        </w:rPr>
        <w:t xml:space="preserve"> to identify strategies </w:t>
      </w:r>
      <w:r w:rsidR="009C7D2B">
        <w:rPr>
          <w:sz w:val="24"/>
          <w:szCs w:val="24"/>
        </w:rPr>
        <w:t xml:space="preserve">to </w:t>
      </w:r>
      <w:r w:rsidR="00850646">
        <w:rPr>
          <w:sz w:val="24"/>
          <w:szCs w:val="24"/>
        </w:rPr>
        <w:t>minimize and mitigate risks of inadvertent release.</w:t>
      </w:r>
    </w:p>
    <w:p w:rsidR="00447272" w:rsidRDefault="00850646" w:rsidP="00850646">
      <w:pPr>
        <w:rPr>
          <w:sz w:val="24"/>
          <w:szCs w:val="24"/>
        </w:rPr>
      </w:pPr>
      <w:r>
        <w:rPr>
          <w:sz w:val="24"/>
          <w:szCs w:val="24"/>
        </w:rPr>
        <w:t>L</w:t>
      </w:r>
      <w:r w:rsidR="00073B0D">
        <w:rPr>
          <w:sz w:val="24"/>
          <w:szCs w:val="24"/>
        </w:rPr>
        <w:t>aboratory staff should provide proof of poliovirus immunization according to the national schedule.</w:t>
      </w:r>
      <w:r>
        <w:rPr>
          <w:sz w:val="24"/>
          <w:szCs w:val="24"/>
        </w:rPr>
        <w:t xml:space="preserve"> </w:t>
      </w:r>
      <w:r w:rsidR="0047771D">
        <w:rPr>
          <w:sz w:val="24"/>
          <w:szCs w:val="24"/>
        </w:rPr>
        <w:t>If an individual cannot produce proof of polio immunization, they should be immunized according to national recommendations for persons with potential occupational exposure to poliovirus.</w:t>
      </w:r>
    </w:p>
    <w:p w:rsidR="00437850" w:rsidRPr="006A4973" w:rsidRDefault="00437850" w:rsidP="00850646">
      <w:pPr>
        <w:rPr>
          <w:sz w:val="24"/>
          <w:szCs w:val="24"/>
        </w:rPr>
      </w:pPr>
    </w:p>
    <w:p w:rsidR="006F773E" w:rsidRPr="00437850" w:rsidRDefault="00477E0C" w:rsidP="00437850">
      <w:pPr>
        <w:pStyle w:val="Heading3"/>
      </w:pPr>
      <w:bookmarkStart w:id="13" w:name="_Toc492292894"/>
      <w:r w:rsidRPr="00437850">
        <w:t>Level 2</w:t>
      </w:r>
      <w:r w:rsidR="006F42BD" w:rsidRPr="00437850">
        <w:t>:</w:t>
      </w:r>
      <w:r w:rsidRPr="00437850">
        <w:t xml:space="preserve"> </w:t>
      </w:r>
      <w:r w:rsidR="00DD219C" w:rsidRPr="00437850">
        <w:t xml:space="preserve">Guidance for facilities </w:t>
      </w:r>
      <w:r w:rsidRPr="00437850">
        <w:t>with collections in the l</w:t>
      </w:r>
      <w:r w:rsidR="00DD219C" w:rsidRPr="00437850">
        <w:t>ow group</w:t>
      </w:r>
      <w:bookmarkEnd w:id="13"/>
    </w:p>
    <w:p w:rsidR="001B5188" w:rsidRDefault="004B0FE5" w:rsidP="005338A2">
      <w:pPr>
        <w:spacing w:before="240"/>
        <w:rPr>
          <w:sz w:val="24"/>
          <w:szCs w:val="24"/>
        </w:rPr>
      </w:pPr>
      <w:r>
        <w:rPr>
          <w:sz w:val="24"/>
          <w:szCs w:val="24"/>
        </w:rPr>
        <w:t>PIM f</w:t>
      </w:r>
      <w:r w:rsidR="00850646" w:rsidRPr="006A4973">
        <w:rPr>
          <w:sz w:val="24"/>
          <w:szCs w:val="24"/>
        </w:rPr>
        <w:t>ecal samples or sewage concentrates</w:t>
      </w:r>
      <w:r w:rsidR="00850646">
        <w:rPr>
          <w:sz w:val="24"/>
          <w:szCs w:val="24"/>
        </w:rPr>
        <w:t xml:space="preserve"> that will not be inoculated into </w:t>
      </w:r>
      <w:r w:rsidR="00F34709">
        <w:rPr>
          <w:sz w:val="24"/>
          <w:szCs w:val="24"/>
        </w:rPr>
        <w:t>PV</w:t>
      </w:r>
      <w:r w:rsidR="00850646">
        <w:rPr>
          <w:sz w:val="24"/>
          <w:szCs w:val="24"/>
        </w:rPr>
        <w:t>-permissive</w:t>
      </w:r>
      <w:r w:rsidR="00850646" w:rsidRPr="006A4973">
        <w:rPr>
          <w:sz w:val="24"/>
          <w:szCs w:val="24"/>
        </w:rPr>
        <w:t xml:space="preserve"> cell lines</w:t>
      </w:r>
      <w:r w:rsidR="00850646">
        <w:rPr>
          <w:sz w:val="24"/>
          <w:szCs w:val="24"/>
        </w:rPr>
        <w:t xml:space="preserve"> (e.g. those that will be handled only for nucleic acid extraction or fixation) pose a lower risk, </w:t>
      </w:r>
      <w:r w:rsidR="00F34709">
        <w:rPr>
          <w:sz w:val="24"/>
          <w:szCs w:val="24"/>
        </w:rPr>
        <w:t>as</w:t>
      </w:r>
      <w:r w:rsidR="00850646">
        <w:rPr>
          <w:sz w:val="24"/>
          <w:szCs w:val="24"/>
        </w:rPr>
        <w:t xml:space="preserve"> procedure</w:t>
      </w:r>
      <w:r w:rsidR="00F34709">
        <w:rPr>
          <w:sz w:val="24"/>
          <w:szCs w:val="24"/>
        </w:rPr>
        <w:t>s will not amplify</w:t>
      </w:r>
      <w:r w:rsidR="00850646">
        <w:rPr>
          <w:sz w:val="24"/>
          <w:szCs w:val="24"/>
        </w:rPr>
        <w:t xml:space="preserve"> live virus. Inoculation of respiratory </w:t>
      </w:r>
      <w:r w:rsidR="00505908">
        <w:rPr>
          <w:sz w:val="24"/>
          <w:szCs w:val="24"/>
        </w:rPr>
        <w:t xml:space="preserve">tract </w:t>
      </w:r>
      <w:r w:rsidR="00850646">
        <w:rPr>
          <w:sz w:val="24"/>
          <w:szCs w:val="24"/>
        </w:rPr>
        <w:t xml:space="preserve">specimens </w:t>
      </w:r>
      <w:r w:rsidR="0047771D">
        <w:rPr>
          <w:sz w:val="24"/>
          <w:szCs w:val="24"/>
        </w:rPr>
        <w:t xml:space="preserve">or transfection of nucleic acid derived from such material </w:t>
      </w:r>
      <w:r w:rsidR="00850646">
        <w:rPr>
          <w:sz w:val="24"/>
          <w:szCs w:val="24"/>
        </w:rPr>
        <w:t xml:space="preserve">into </w:t>
      </w:r>
      <w:r w:rsidR="00F34709">
        <w:rPr>
          <w:sz w:val="24"/>
          <w:szCs w:val="24"/>
        </w:rPr>
        <w:t>PV</w:t>
      </w:r>
      <w:r w:rsidR="00850646">
        <w:rPr>
          <w:sz w:val="24"/>
          <w:szCs w:val="24"/>
        </w:rPr>
        <w:t>-permissive</w:t>
      </w:r>
      <w:r w:rsidR="00850646" w:rsidRPr="006A4973">
        <w:rPr>
          <w:sz w:val="24"/>
          <w:szCs w:val="24"/>
        </w:rPr>
        <w:t xml:space="preserve"> cell</w:t>
      </w:r>
      <w:r w:rsidR="00850646">
        <w:rPr>
          <w:sz w:val="24"/>
          <w:szCs w:val="24"/>
        </w:rPr>
        <w:t xml:space="preserve">s is also of lower risk, largely because of the lower </w:t>
      </w:r>
      <w:r w:rsidR="009C7D2B">
        <w:rPr>
          <w:sz w:val="24"/>
          <w:szCs w:val="24"/>
        </w:rPr>
        <w:t xml:space="preserve">PV </w:t>
      </w:r>
      <w:r w:rsidR="00850646">
        <w:rPr>
          <w:sz w:val="24"/>
          <w:szCs w:val="24"/>
        </w:rPr>
        <w:t>incidence</w:t>
      </w:r>
      <w:r w:rsidR="00315919">
        <w:rPr>
          <w:sz w:val="24"/>
          <w:szCs w:val="24"/>
        </w:rPr>
        <w:t>.</w:t>
      </w:r>
      <w:r w:rsidR="00850646">
        <w:rPr>
          <w:sz w:val="24"/>
          <w:szCs w:val="24"/>
        </w:rPr>
        <w:t xml:space="preserve"> </w:t>
      </w:r>
    </w:p>
    <w:p w:rsidR="00315919" w:rsidRDefault="00315919" w:rsidP="005338A2">
      <w:pPr>
        <w:spacing w:before="240"/>
        <w:rPr>
          <w:sz w:val="24"/>
          <w:szCs w:val="24"/>
        </w:rPr>
      </w:pPr>
      <w:r>
        <w:rPr>
          <w:sz w:val="24"/>
          <w:szCs w:val="24"/>
        </w:rPr>
        <w:t xml:space="preserve">However, </w:t>
      </w:r>
      <w:r w:rsidR="003814CC">
        <w:rPr>
          <w:sz w:val="24"/>
          <w:szCs w:val="24"/>
        </w:rPr>
        <w:t>the</w:t>
      </w:r>
      <w:r>
        <w:rPr>
          <w:sz w:val="24"/>
          <w:szCs w:val="24"/>
        </w:rPr>
        <w:t xml:space="preserve"> laboratory </w:t>
      </w:r>
      <w:r w:rsidR="00437850">
        <w:rPr>
          <w:sz w:val="24"/>
          <w:szCs w:val="24"/>
        </w:rPr>
        <w:t>should</w:t>
      </w:r>
      <w:r w:rsidR="003814CC">
        <w:rPr>
          <w:sz w:val="24"/>
          <w:szCs w:val="24"/>
        </w:rPr>
        <w:t xml:space="preserve"> still adhere to accepted standards of good laboratory and </w:t>
      </w:r>
      <w:r w:rsidR="003814CC" w:rsidRPr="00073B0D">
        <w:rPr>
          <w:sz w:val="24"/>
          <w:szCs w:val="24"/>
        </w:rPr>
        <w:t xml:space="preserve">microbiological practices, </w:t>
      </w:r>
      <w:r w:rsidR="003814CC">
        <w:rPr>
          <w:sz w:val="24"/>
          <w:szCs w:val="24"/>
        </w:rPr>
        <w:t>supported by</w:t>
      </w:r>
      <w:r w:rsidR="003814CC" w:rsidRPr="00073B0D">
        <w:rPr>
          <w:sz w:val="24"/>
          <w:szCs w:val="24"/>
        </w:rPr>
        <w:t xml:space="preserve"> </w:t>
      </w:r>
      <w:r w:rsidR="003814CC">
        <w:rPr>
          <w:sz w:val="24"/>
          <w:szCs w:val="24"/>
        </w:rPr>
        <w:t>validation/</w:t>
      </w:r>
      <w:r w:rsidR="003814CC" w:rsidRPr="00073B0D">
        <w:rPr>
          <w:sz w:val="24"/>
          <w:szCs w:val="24"/>
        </w:rPr>
        <w:t>documentation of methods</w:t>
      </w:r>
      <w:r w:rsidR="003814CC">
        <w:rPr>
          <w:sz w:val="24"/>
          <w:szCs w:val="24"/>
        </w:rPr>
        <w:t xml:space="preserve"> and written standard operating procedures</w:t>
      </w:r>
      <w:r w:rsidR="007C41E2">
        <w:rPr>
          <w:sz w:val="24"/>
          <w:szCs w:val="24"/>
        </w:rPr>
        <w:t xml:space="preserve"> (Table 2)</w:t>
      </w:r>
      <w:r w:rsidR="003814CC">
        <w:rPr>
          <w:sz w:val="24"/>
          <w:szCs w:val="24"/>
        </w:rPr>
        <w:t xml:space="preserve">. As </w:t>
      </w:r>
      <w:r w:rsidR="009C7D2B">
        <w:rPr>
          <w:sz w:val="24"/>
          <w:szCs w:val="24"/>
        </w:rPr>
        <w:t>for</w:t>
      </w:r>
      <w:r w:rsidR="00F34709">
        <w:rPr>
          <w:sz w:val="24"/>
          <w:szCs w:val="24"/>
        </w:rPr>
        <w:t xml:space="preserve"> Level 1</w:t>
      </w:r>
      <w:r w:rsidR="00227816">
        <w:rPr>
          <w:sz w:val="24"/>
          <w:szCs w:val="24"/>
        </w:rPr>
        <w:t>, risk assessments should be conducted for all procedures to identify strategies</w:t>
      </w:r>
      <w:r w:rsidR="00F34709">
        <w:rPr>
          <w:sz w:val="24"/>
          <w:szCs w:val="24"/>
        </w:rPr>
        <w:t xml:space="preserve"> </w:t>
      </w:r>
      <w:r w:rsidR="009C7D2B">
        <w:rPr>
          <w:sz w:val="24"/>
          <w:szCs w:val="24"/>
        </w:rPr>
        <w:t>to</w:t>
      </w:r>
      <w:r w:rsidR="00227816">
        <w:rPr>
          <w:sz w:val="24"/>
          <w:szCs w:val="24"/>
        </w:rPr>
        <w:t xml:space="preserve"> minimize and mitigate risks of inadvertent release.</w:t>
      </w:r>
    </w:p>
    <w:p w:rsidR="00227816" w:rsidRDefault="00227816" w:rsidP="005338A2">
      <w:pPr>
        <w:spacing w:before="240"/>
        <w:rPr>
          <w:sz w:val="24"/>
          <w:szCs w:val="24"/>
        </w:rPr>
      </w:pPr>
      <w:r>
        <w:rPr>
          <w:sz w:val="24"/>
          <w:szCs w:val="24"/>
        </w:rPr>
        <w:t xml:space="preserve">Laboratory staff should provide proof of poliovirus immunization according to the national schedule. </w:t>
      </w:r>
      <w:r w:rsidR="00337F7C">
        <w:rPr>
          <w:sz w:val="24"/>
          <w:szCs w:val="24"/>
        </w:rPr>
        <w:t>If an individual cannot produce proof of polio immunization, they should be immunized according to national recommendations for persons with potential occupational exposure to poliovirus.</w:t>
      </w:r>
    </w:p>
    <w:p w:rsidR="00437850" w:rsidRDefault="00437850" w:rsidP="005338A2">
      <w:pPr>
        <w:spacing w:before="240"/>
        <w:rPr>
          <w:sz w:val="24"/>
          <w:szCs w:val="24"/>
        </w:rPr>
      </w:pPr>
    </w:p>
    <w:p w:rsidR="00DD219C" w:rsidRDefault="00477E0C" w:rsidP="00437850">
      <w:pPr>
        <w:pStyle w:val="Heading3"/>
        <w:rPr>
          <w:szCs w:val="24"/>
        </w:rPr>
      </w:pPr>
      <w:bookmarkStart w:id="14" w:name="_Toc492292895"/>
      <w:r>
        <w:t xml:space="preserve">Level 3: </w:t>
      </w:r>
      <w:r w:rsidR="00DD219C" w:rsidRPr="004E2511">
        <w:t xml:space="preserve">Guidance for facilities </w:t>
      </w:r>
      <w:r>
        <w:t>with collections in the lowest</w:t>
      </w:r>
      <w:r w:rsidR="00DD219C" w:rsidRPr="004E2511">
        <w:rPr>
          <w:szCs w:val="24"/>
        </w:rPr>
        <w:t xml:space="preserve"> </w:t>
      </w:r>
      <w:r>
        <w:rPr>
          <w:szCs w:val="24"/>
        </w:rPr>
        <w:t>risk</w:t>
      </w:r>
      <w:r w:rsidR="00DD219C" w:rsidRPr="004E2511">
        <w:rPr>
          <w:szCs w:val="24"/>
        </w:rPr>
        <w:t xml:space="preserve"> group</w:t>
      </w:r>
      <w:bookmarkEnd w:id="14"/>
    </w:p>
    <w:p w:rsidR="00505908" w:rsidRDefault="00505908" w:rsidP="005338A2">
      <w:pPr>
        <w:spacing w:before="240"/>
        <w:rPr>
          <w:sz w:val="24"/>
          <w:szCs w:val="24"/>
        </w:rPr>
      </w:pPr>
      <w:r w:rsidRPr="005338A2">
        <w:rPr>
          <w:sz w:val="24"/>
          <w:szCs w:val="24"/>
        </w:rPr>
        <w:t xml:space="preserve">Respiratory </w:t>
      </w:r>
      <w:r>
        <w:rPr>
          <w:sz w:val="24"/>
          <w:szCs w:val="24"/>
        </w:rPr>
        <w:t>tract specimens</w:t>
      </w:r>
      <w:r>
        <w:rPr>
          <w:b/>
          <w:sz w:val="24"/>
          <w:szCs w:val="24"/>
        </w:rPr>
        <w:t xml:space="preserve"> </w:t>
      </w:r>
      <w:r>
        <w:rPr>
          <w:sz w:val="24"/>
          <w:szCs w:val="24"/>
        </w:rPr>
        <w:t xml:space="preserve">that will not be inoculated into </w:t>
      </w:r>
      <w:r w:rsidR="004B0FE5">
        <w:rPr>
          <w:sz w:val="24"/>
          <w:szCs w:val="24"/>
        </w:rPr>
        <w:t>PV</w:t>
      </w:r>
      <w:r>
        <w:rPr>
          <w:sz w:val="24"/>
          <w:szCs w:val="24"/>
        </w:rPr>
        <w:t>-permissive</w:t>
      </w:r>
      <w:r w:rsidRPr="006A4973">
        <w:rPr>
          <w:sz w:val="24"/>
          <w:szCs w:val="24"/>
        </w:rPr>
        <w:t xml:space="preserve"> cell lines</w:t>
      </w:r>
      <w:r>
        <w:rPr>
          <w:sz w:val="24"/>
          <w:szCs w:val="24"/>
        </w:rPr>
        <w:t xml:space="preserve"> (e.g. those that will be handled only for nucleic acid extraction or fixation) pose the lowest risk,</w:t>
      </w:r>
      <w:r w:rsidR="009C7D2B">
        <w:rPr>
          <w:sz w:val="24"/>
          <w:szCs w:val="24"/>
        </w:rPr>
        <w:t xml:space="preserve"> as</w:t>
      </w:r>
      <w:r>
        <w:rPr>
          <w:sz w:val="24"/>
          <w:szCs w:val="24"/>
        </w:rPr>
        <w:t xml:space="preserve"> the </w:t>
      </w:r>
      <w:r w:rsidR="009C7D2B">
        <w:rPr>
          <w:sz w:val="24"/>
          <w:szCs w:val="24"/>
        </w:rPr>
        <w:t xml:space="preserve">PV </w:t>
      </w:r>
      <w:r>
        <w:rPr>
          <w:sz w:val="24"/>
          <w:szCs w:val="24"/>
        </w:rPr>
        <w:lastRenderedPageBreak/>
        <w:t>incidence and titers</w:t>
      </w:r>
      <w:r w:rsidR="004B0FE5">
        <w:rPr>
          <w:sz w:val="24"/>
          <w:szCs w:val="24"/>
        </w:rPr>
        <w:t xml:space="preserve"> in clinical materials</w:t>
      </w:r>
      <w:r>
        <w:rPr>
          <w:sz w:val="24"/>
          <w:szCs w:val="24"/>
        </w:rPr>
        <w:t xml:space="preserve"> are low. </w:t>
      </w:r>
      <w:r w:rsidR="0047771D">
        <w:rPr>
          <w:sz w:val="24"/>
          <w:szCs w:val="24"/>
        </w:rPr>
        <w:t xml:space="preserve">Nucleic acid extracted from </w:t>
      </w:r>
      <w:r w:rsidR="00492CB6">
        <w:rPr>
          <w:sz w:val="24"/>
          <w:szCs w:val="24"/>
        </w:rPr>
        <w:t>OPV/</w:t>
      </w:r>
      <w:r w:rsidR="0047771D">
        <w:rPr>
          <w:sz w:val="24"/>
          <w:szCs w:val="24"/>
        </w:rPr>
        <w:t xml:space="preserve">Sabin PIM that will not be transfected into polio-permissive cell lines is also of the lowest risk. </w:t>
      </w:r>
      <w:r>
        <w:rPr>
          <w:sz w:val="24"/>
          <w:szCs w:val="24"/>
        </w:rPr>
        <w:t xml:space="preserve">The laboratory </w:t>
      </w:r>
      <w:r w:rsidR="00437850">
        <w:rPr>
          <w:sz w:val="24"/>
          <w:szCs w:val="24"/>
        </w:rPr>
        <w:t>should</w:t>
      </w:r>
      <w:r>
        <w:rPr>
          <w:sz w:val="24"/>
          <w:szCs w:val="24"/>
        </w:rPr>
        <w:t xml:space="preserve"> still adhere to accepted standards of good laboratory and </w:t>
      </w:r>
      <w:r w:rsidRPr="00073B0D">
        <w:rPr>
          <w:sz w:val="24"/>
          <w:szCs w:val="24"/>
        </w:rPr>
        <w:t xml:space="preserve">microbiological practices, </w:t>
      </w:r>
      <w:r>
        <w:rPr>
          <w:sz w:val="24"/>
          <w:szCs w:val="24"/>
        </w:rPr>
        <w:t>supported by</w:t>
      </w:r>
      <w:r w:rsidR="002E3B30">
        <w:rPr>
          <w:sz w:val="24"/>
          <w:szCs w:val="24"/>
        </w:rPr>
        <w:t xml:space="preserve"> </w:t>
      </w:r>
      <w:r>
        <w:rPr>
          <w:sz w:val="24"/>
          <w:szCs w:val="24"/>
        </w:rPr>
        <w:t>validation/</w:t>
      </w:r>
      <w:r w:rsidRPr="00073B0D">
        <w:rPr>
          <w:sz w:val="24"/>
          <w:szCs w:val="24"/>
        </w:rPr>
        <w:t>documentation of methods</w:t>
      </w:r>
      <w:r>
        <w:rPr>
          <w:sz w:val="24"/>
          <w:szCs w:val="24"/>
        </w:rPr>
        <w:t xml:space="preserve"> and written standard operating procedures, and risk assessments should be conducted for all procedures to identify strategies </w:t>
      </w:r>
      <w:r w:rsidR="004B0FE5">
        <w:rPr>
          <w:sz w:val="24"/>
          <w:szCs w:val="24"/>
        </w:rPr>
        <w:t xml:space="preserve">to </w:t>
      </w:r>
      <w:r>
        <w:rPr>
          <w:sz w:val="24"/>
          <w:szCs w:val="24"/>
        </w:rPr>
        <w:t>minimize and mitigate risks of inadvertent release</w:t>
      </w:r>
      <w:r w:rsidR="007C41E2">
        <w:rPr>
          <w:sz w:val="24"/>
          <w:szCs w:val="24"/>
        </w:rPr>
        <w:t xml:space="preserve"> (Table 2)</w:t>
      </w:r>
      <w:r>
        <w:rPr>
          <w:sz w:val="24"/>
          <w:szCs w:val="24"/>
        </w:rPr>
        <w:t>.</w:t>
      </w:r>
    </w:p>
    <w:p w:rsidR="00492CB6" w:rsidRDefault="00505908" w:rsidP="00602C97">
      <w:pPr>
        <w:spacing w:before="240"/>
        <w:rPr>
          <w:b/>
          <w:sz w:val="24"/>
          <w:szCs w:val="28"/>
        </w:rPr>
      </w:pPr>
      <w:r>
        <w:rPr>
          <w:sz w:val="24"/>
          <w:szCs w:val="24"/>
        </w:rPr>
        <w:t xml:space="preserve">Polio immunization for relevant staff is </w:t>
      </w:r>
      <w:r w:rsidR="00B746A5">
        <w:rPr>
          <w:sz w:val="24"/>
          <w:szCs w:val="24"/>
        </w:rPr>
        <w:t>recommended.</w:t>
      </w:r>
      <w:r w:rsidR="00B746A5" w:rsidRPr="00B746A5">
        <w:rPr>
          <w:b/>
          <w:sz w:val="24"/>
          <w:szCs w:val="28"/>
        </w:rPr>
        <w:t xml:space="preserve"> </w:t>
      </w:r>
    </w:p>
    <w:p w:rsidR="00437850" w:rsidRDefault="00437850" w:rsidP="00602C97">
      <w:pPr>
        <w:spacing w:before="240"/>
        <w:rPr>
          <w:b/>
          <w:sz w:val="24"/>
          <w:szCs w:val="28"/>
        </w:rPr>
      </w:pPr>
    </w:p>
    <w:p w:rsidR="00733FE8" w:rsidRPr="00602C97" w:rsidRDefault="00B746A5" w:rsidP="00437850">
      <w:pPr>
        <w:pStyle w:val="Heading3"/>
      </w:pPr>
      <w:bookmarkStart w:id="15" w:name="_Toc492292896"/>
      <w:r w:rsidRPr="00B746A5">
        <w:t>Guidance</w:t>
      </w:r>
      <w:r w:rsidR="00733FE8" w:rsidRPr="00602C97">
        <w:t xml:space="preserve"> for short-term retention of historical collections while final disposition is being determined</w:t>
      </w:r>
      <w:bookmarkEnd w:id="15"/>
    </w:p>
    <w:p w:rsidR="00256247" w:rsidRPr="00901B54" w:rsidRDefault="001F1ABF" w:rsidP="00901B54">
      <w:pPr>
        <w:tabs>
          <w:tab w:val="left" w:pos="6585"/>
        </w:tabs>
        <w:spacing w:before="240"/>
        <w:rPr>
          <w:sz w:val="24"/>
          <w:szCs w:val="28"/>
        </w:rPr>
      </w:pPr>
      <w:r>
        <w:rPr>
          <w:sz w:val="24"/>
          <w:szCs w:val="28"/>
        </w:rPr>
        <w:t>F</w:t>
      </w:r>
      <w:r w:rsidR="00254A20">
        <w:rPr>
          <w:sz w:val="24"/>
          <w:szCs w:val="28"/>
        </w:rPr>
        <w:t xml:space="preserve">acilities </w:t>
      </w:r>
      <w:r>
        <w:rPr>
          <w:sz w:val="24"/>
          <w:szCs w:val="28"/>
        </w:rPr>
        <w:t xml:space="preserve">that </w:t>
      </w:r>
      <w:r w:rsidR="00254A20">
        <w:rPr>
          <w:sz w:val="24"/>
          <w:szCs w:val="28"/>
        </w:rPr>
        <w:t xml:space="preserve">require a brief period of storage of valuable PIM collections while final disposition is being determined </w:t>
      </w:r>
      <w:r w:rsidR="00437850">
        <w:rPr>
          <w:sz w:val="24"/>
          <w:szCs w:val="28"/>
        </w:rPr>
        <w:t>should</w:t>
      </w:r>
      <w:r w:rsidR="00733FE8" w:rsidRPr="00CC4DEE">
        <w:rPr>
          <w:sz w:val="24"/>
          <w:szCs w:val="28"/>
        </w:rPr>
        <w:t xml:space="preserve"> declare the materials in their</w:t>
      </w:r>
      <w:r w:rsidR="00733FE8">
        <w:rPr>
          <w:sz w:val="24"/>
          <w:szCs w:val="28"/>
        </w:rPr>
        <w:t xml:space="preserve"> National Survey and maintain an accurate </w:t>
      </w:r>
      <w:r w:rsidR="00733FE8" w:rsidRPr="00CC4DEE">
        <w:rPr>
          <w:sz w:val="24"/>
          <w:szCs w:val="28"/>
        </w:rPr>
        <w:t>inventory of materials in their possession</w:t>
      </w:r>
      <w:r w:rsidR="00733FE8">
        <w:rPr>
          <w:sz w:val="24"/>
          <w:szCs w:val="28"/>
        </w:rPr>
        <w:t xml:space="preserve"> (Table 2)</w:t>
      </w:r>
      <w:r w:rsidR="00733FE8" w:rsidRPr="00CC4DEE">
        <w:rPr>
          <w:sz w:val="24"/>
          <w:szCs w:val="28"/>
        </w:rPr>
        <w:t>.</w:t>
      </w:r>
      <w:r w:rsidR="00733FE8">
        <w:rPr>
          <w:sz w:val="24"/>
          <w:szCs w:val="28"/>
        </w:rPr>
        <w:t xml:space="preserve"> PIM must be segregated from other materials and stored in locked freezers, with access limited to specifically trained staff.</w:t>
      </w:r>
      <w:r w:rsidR="008810D3">
        <w:rPr>
          <w:sz w:val="24"/>
          <w:szCs w:val="28"/>
        </w:rPr>
        <w:t xml:space="preserve"> It must be emphasized that this is a short-term measure only, while the final disposition of the collection is being considered. During this time, the facility is still subject to oversight by the National Authority for Containment </w:t>
      </w:r>
      <w:r w:rsidR="003F65AA">
        <w:rPr>
          <w:sz w:val="24"/>
          <w:szCs w:val="28"/>
        </w:rPr>
        <w:t xml:space="preserve">or other regulatory body </w:t>
      </w:r>
      <w:r w:rsidR="008810D3">
        <w:rPr>
          <w:sz w:val="24"/>
          <w:szCs w:val="28"/>
        </w:rPr>
        <w:t xml:space="preserve">and </w:t>
      </w:r>
      <w:r w:rsidR="00437850">
        <w:rPr>
          <w:sz w:val="24"/>
          <w:szCs w:val="28"/>
        </w:rPr>
        <w:t>should</w:t>
      </w:r>
      <w:r w:rsidR="008810D3">
        <w:rPr>
          <w:sz w:val="24"/>
          <w:szCs w:val="28"/>
        </w:rPr>
        <w:t xml:space="preserve"> eventually destroy or transfer the materials, or begin the process to become a </w:t>
      </w:r>
      <w:proofErr w:type="spellStart"/>
      <w:r w:rsidR="008810D3">
        <w:rPr>
          <w:sz w:val="24"/>
          <w:szCs w:val="28"/>
        </w:rPr>
        <w:t>dPEF</w:t>
      </w:r>
      <w:proofErr w:type="spellEnd"/>
      <w:r w:rsidR="00667F7F">
        <w:rPr>
          <w:sz w:val="24"/>
          <w:szCs w:val="28"/>
        </w:rPr>
        <w:t xml:space="preserve"> </w:t>
      </w:r>
      <w:r w:rsidR="00142A24">
        <w:rPr>
          <w:sz w:val="24"/>
          <w:szCs w:val="28"/>
        </w:rPr>
        <w:t>(</w:t>
      </w:r>
      <w:r w:rsidR="007207DA">
        <w:rPr>
          <w:sz w:val="24"/>
          <w:szCs w:val="28"/>
        </w:rPr>
        <w:t>Section 7</w:t>
      </w:r>
      <w:r w:rsidR="00142A24">
        <w:rPr>
          <w:sz w:val="24"/>
          <w:szCs w:val="28"/>
        </w:rPr>
        <w:t>)</w:t>
      </w:r>
      <w:r w:rsidR="00667F7F">
        <w:rPr>
          <w:sz w:val="24"/>
          <w:szCs w:val="28"/>
        </w:rPr>
        <w:t xml:space="preserve">, if </w:t>
      </w:r>
      <w:r w:rsidR="00142A24">
        <w:rPr>
          <w:sz w:val="24"/>
          <w:szCs w:val="28"/>
        </w:rPr>
        <w:t xml:space="preserve">the PIM </w:t>
      </w:r>
      <w:r w:rsidR="00667F7F">
        <w:rPr>
          <w:sz w:val="24"/>
          <w:szCs w:val="28"/>
        </w:rPr>
        <w:t>collection is categorized as WPV/</w:t>
      </w:r>
      <w:proofErr w:type="spellStart"/>
      <w:r w:rsidR="00667F7F">
        <w:rPr>
          <w:sz w:val="24"/>
          <w:szCs w:val="28"/>
        </w:rPr>
        <w:t>cVDPV</w:t>
      </w:r>
      <w:proofErr w:type="spellEnd"/>
      <w:r w:rsidR="007207DA">
        <w:rPr>
          <w:sz w:val="24"/>
          <w:szCs w:val="28"/>
        </w:rPr>
        <w:t>.</w:t>
      </w:r>
    </w:p>
    <w:p w:rsidR="00D65CC8" w:rsidRDefault="00D65CC8" w:rsidP="002D716D">
      <w:pPr>
        <w:jc w:val="right"/>
        <w:rPr>
          <w:b/>
          <w:sz w:val="28"/>
          <w:szCs w:val="28"/>
        </w:rPr>
      </w:pPr>
    </w:p>
    <w:p w:rsidR="001B5188" w:rsidRDefault="001B5188" w:rsidP="00131EA2">
      <w:pPr>
        <w:tabs>
          <w:tab w:val="left" w:pos="6585"/>
        </w:tabs>
        <w:spacing w:before="240"/>
        <w:rPr>
          <w:b/>
          <w:sz w:val="28"/>
          <w:szCs w:val="28"/>
        </w:rPr>
      </w:pPr>
      <w:r w:rsidRPr="00131EA2">
        <w:rPr>
          <w:sz w:val="28"/>
          <w:szCs w:val="28"/>
        </w:rPr>
        <w:br w:type="page"/>
      </w:r>
      <w:r w:rsidR="00131EA2">
        <w:rPr>
          <w:b/>
          <w:sz w:val="28"/>
          <w:szCs w:val="28"/>
        </w:rPr>
        <w:lastRenderedPageBreak/>
        <w:tab/>
      </w:r>
    </w:p>
    <w:p w:rsidR="00AD0DC8" w:rsidRPr="00DC6115" w:rsidRDefault="00DC6115" w:rsidP="006F42BD">
      <w:pPr>
        <w:pStyle w:val="Heading1"/>
      </w:pPr>
      <w:bookmarkStart w:id="16" w:name="_Toc492292897"/>
      <w:r>
        <w:t xml:space="preserve">Annex 1: </w:t>
      </w:r>
      <w:r w:rsidR="00AD0DC8" w:rsidRPr="00DC6115">
        <w:t xml:space="preserve">Risk Assessment </w:t>
      </w:r>
      <w:r w:rsidR="00FF1824" w:rsidRPr="00DC6115">
        <w:t xml:space="preserve">for categorization of </w:t>
      </w:r>
      <w:r w:rsidR="002D5B4F" w:rsidRPr="00DC6115">
        <w:t>poliovirus p</w:t>
      </w:r>
      <w:r w:rsidR="00AD0DC8" w:rsidRPr="00DC6115">
        <w:t xml:space="preserve">otentially </w:t>
      </w:r>
      <w:r w:rsidR="002D5B4F" w:rsidRPr="00DC6115">
        <w:t>i</w:t>
      </w:r>
      <w:r w:rsidR="00AD0DC8" w:rsidRPr="00DC6115">
        <w:t xml:space="preserve">nfectious </w:t>
      </w:r>
      <w:r w:rsidR="002D5B4F" w:rsidRPr="00DC6115">
        <w:t>m</w:t>
      </w:r>
      <w:r w:rsidR="00AD0DC8" w:rsidRPr="00DC6115">
        <w:t xml:space="preserve">aterials </w:t>
      </w:r>
      <w:r w:rsidR="006F773E" w:rsidRPr="00DC6115">
        <w:t>**</w:t>
      </w:r>
      <w:bookmarkEnd w:id="16"/>
      <w:r w:rsidR="00AD0DC8" w:rsidRPr="00DC6115">
        <w:t xml:space="preserve"> </w:t>
      </w:r>
    </w:p>
    <w:p w:rsidR="006F42BD" w:rsidRDefault="006F42BD" w:rsidP="00AD0DC8">
      <w:pPr>
        <w:rPr>
          <w:sz w:val="24"/>
          <w:szCs w:val="24"/>
        </w:rPr>
      </w:pPr>
    </w:p>
    <w:p w:rsidR="00AD0DC8" w:rsidRDefault="00AD0DC8" w:rsidP="00AD0DC8">
      <w:pPr>
        <w:rPr>
          <w:sz w:val="24"/>
          <w:szCs w:val="24"/>
        </w:rPr>
      </w:pPr>
      <w:r>
        <w:rPr>
          <w:sz w:val="24"/>
          <w:szCs w:val="24"/>
        </w:rPr>
        <w:t>The PV transmission risk of a PIM collection is a factor of multiple elements including the nature of the sample collection (when, where</w:t>
      </w:r>
      <w:r w:rsidR="000B6EE3">
        <w:rPr>
          <w:sz w:val="24"/>
          <w:szCs w:val="24"/>
        </w:rPr>
        <w:t>, and what</w:t>
      </w:r>
      <w:r>
        <w:rPr>
          <w:sz w:val="24"/>
          <w:szCs w:val="24"/>
        </w:rPr>
        <w:t>), the PV(s) that may be present (WPV/</w:t>
      </w:r>
      <w:proofErr w:type="spellStart"/>
      <w:r>
        <w:rPr>
          <w:sz w:val="24"/>
          <w:szCs w:val="24"/>
        </w:rPr>
        <w:t>cVDPV</w:t>
      </w:r>
      <w:proofErr w:type="spellEnd"/>
      <w:r>
        <w:rPr>
          <w:sz w:val="24"/>
          <w:szCs w:val="24"/>
        </w:rPr>
        <w:t xml:space="preserve"> or OPV/Sabin), hazard</w:t>
      </w:r>
      <w:r w:rsidR="0002485D">
        <w:rPr>
          <w:sz w:val="24"/>
          <w:szCs w:val="24"/>
        </w:rPr>
        <w:t>s of</w:t>
      </w:r>
      <w:r>
        <w:rPr>
          <w:sz w:val="24"/>
          <w:szCs w:val="24"/>
        </w:rPr>
        <w:t xml:space="preserve"> laboratory procedures, and worker/community susceptibility. </w:t>
      </w:r>
    </w:p>
    <w:p w:rsidR="00AD0DC8" w:rsidRPr="009E3EBA" w:rsidRDefault="0002485D" w:rsidP="003E6D2C">
      <w:pPr>
        <w:pStyle w:val="Heading3"/>
        <w:numPr>
          <w:ilvl w:val="0"/>
          <w:numId w:val="30"/>
        </w:numPr>
      </w:pPr>
      <w:bookmarkStart w:id="17" w:name="_Toc492292898"/>
      <w:r w:rsidRPr="009E3EBA">
        <w:t xml:space="preserve">When and where </w:t>
      </w:r>
      <w:r w:rsidR="00217BF9" w:rsidRPr="009E3EBA">
        <w:t xml:space="preserve">samples </w:t>
      </w:r>
      <w:r w:rsidR="00AD0DC8" w:rsidRPr="009E3EBA">
        <w:t>collect</w:t>
      </w:r>
      <w:r w:rsidRPr="009E3EBA">
        <w:t>ed</w:t>
      </w:r>
      <w:bookmarkEnd w:id="17"/>
    </w:p>
    <w:p w:rsidR="009E3EBA" w:rsidRDefault="00AD0DC8" w:rsidP="00A86FA6">
      <w:pPr>
        <w:ind w:left="720"/>
        <w:rPr>
          <w:sz w:val="24"/>
          <w:szCs w:val="24"/>
        </w:rPr>
      </w:pPr>
      <w:r w:rsidRPr="001E1DEF">
        <w:rPr>
          <w:sz w:val="24"/>
          <w:szCs w:val="24"/>
        </w:rPr>
        <w:t xml:space="preserve">The “when and where” of the collection indicates the likelihood of PV being present. </w:t>
      </w:r>
      <w:r w:rsidR="009E3EBA">
        <w:rPr>
          <w:sz w:val="24"/>
          <w:szCs w:val="24"/>
        </w:rPr>
        <w:t>Annex</w:t>
      </w:r>
      <w:r w:rsidR="003E6D2C">
        <w:rPr>
          <w:sz w:val="24"/>
          <w:szCs w:val="24"/>
        </w:rPr>
        <w:t> </w:t>
      </w:r>
      <w:r w:rsidR="001734EB">
        <w:rPr>
          <w:sz w:val="24"/>
          <w:szCs w:val="24"/>
        </w:rPr>
        <w:t>3</w:t>
      </w:r>
      <w:r w:rsidR="009E3EBA">
        <w:rPr>
          <w:sz w:val="24"/>
          <w:szCs w:val="24"/>
        </w:rPr>
        <w:t xml:space="preserve"> </w:t>
      </w:r>
      <w:r w:rsidRPr="001E1DEF">
        <w:rPr>
          <w:sz w:val="24"/>
          <w:szCs w:val="24"/>
        </w:rPr>
        <w:t xml:space="preserve">provides country-specific PV2 data for year of last reported WPV, year of last reported </w:t>
      </w:r>
      <w:proofErr w:type="spellStart"/>
      <w:r w:rsidRPr="001E1DEF">
        <w:rPr>
          <w:sz w:val="24"/>
          <w:szCs w:val="24"/>
        </w:rPr>
        <w:t>cVDPV</w:t>
      </w:r>
      <w:proofErr w:type="spellEnd"/>
      <w:r w:rsidRPr="001E1DEF">
        <w:rPr>
          <w:sz w:val="24"/>
          <w:szCs w:val="24"/>
        </w:rPr>
        <w:t xml:space="preserve">, and last use of </w:t>
      </w:r>
      <w:proofErr w:type="spellStart"/>
      <w:r w:rsidRPr="001E1DEF">
        <w:rPr>
          <w:sz w:val="24"/>
          <w:szCs w:val="24"/>
        </w:rPr>
        <w:t>tOPV</w:t>
      </w:r>
      <w:proofErr w:type="spellEnd"/>
      <w:r w:rsidRPr="001E1DEF">
        <w:rPr>
          <w:sz w:val="24"/>
          <w:szCs w:val="24"/>
        </w:rPr>
        <w:t xml:space="preserve">. </w:t>
      </w:r>
    </w:p>
    <w:p w:rsidR="0024073D" w:rsidRDefault="0024073D" w:rsidP="0024073D">
      <w:pPr>
        <w:ind w:left="720"/>
        <w:rPr>
          <w:sz w:val="24"/>
          <w:szCs w:val="24"/>
        </w:rPr>
      </w:pPr>
      <w:r>
        <w:rPr>
          <w:sz w:val="24"/>
          <w:szCs w:val="24"/>
        </w:rPr>
        <w:t>Samples collected as of 3 months after the reported dates in Annex 3 are no longer considered PIM.</w:t>
      </w:r>
    </w:p>
    <w:p w:rsidR="0024073D" w:rsidRDefault="00AD0DC8" w:rsidP="0024073D">
      <w:pPr>
        <w:ind w:left="720"/>
        <w:rPr>
          <w:sz w:val="24"/>
          <w:szCs w:val="24"/>
        </w:rPr>
      </w:pPr>
      <w:r w:rsidRPr="001E1DEF">
        <w:rPr>
          <w:sz w:val="24"/>
          <w:szCs w:val="24"/>
        </w:rPr>
        <w:t xml:space="preserve">Stored </w:t>
      </w:r>
      <w:r w:rsidR="00ED3930">
        <w:rPr>
          <w:sz w:val="24"/>
          <w:szCs w:val="24"/>
        </w:rPr>
        <w:t>samples collected</w:t>
      </w:r>
      <w:r w:rsidRPr="001E1DEF">
        <w:rPr>
          <w:sz w:val="24"/>
          <w:szCs w:val="24"/>
        </w:rPr>
        <w:t xml:space="preserve"> at a time and in a country where WPV was no longer in circulation and OPV not in use </w:t>
      </w:r>
      <w:r w:rsidR="001D1389">
        <w:rPr>
          <w:sz w:val="24"/>
          <w:szCs w:val="24"/>
        </w:rPr>
        <w:t>are</w:t>
      </w:r>
      <w:r w:rsidR="001D1389" w:rsidRPr="001E1DEF">
        <w:rPr>
          <w:sz w:val="24"/>
          <w:szCs w:val="24"/>
        </w:rPr>
        <w:t xml:space="preserve"> </w:t>
      </w:r>
      <w:r w:rsidRPr="001E1DEF">
        <w:rPr>
          <w:sz w:val="24"/>
          <w:szCs w:val="24"/>
        </w:rPr>
        <w:t xml:space="preserve">not </w:t>
      </w:r>
      <w:r w:rsidR="009574EF">
        <w:rPr>
          <w:sz w:val="24"/>
          <w:szCs w:val="24"/>
        </w:rPr>
        <w:t xml:space="preserve">considered </w:t>
      </w:r>
      <w:r w:rsidRPr="001E1DEF">
        <w:rPr>
          <w:sz w:val="24"/>
          <w:szCs w:val="24"/>
        </w:rPr>
        <w:t xml:space="preserve">PIM.  </w:t>
      </w:r>
    </w:p>
    <w:p w:rsidR="00C7775E" w:rsidRPr="003E6D2C" w:rsidRDefault="0002485D" w:rsidP="003E6D2C">
      <w:pPr>
        <w:pStyle w:val="Heading3"/>
        <w:numPr>
          <w:ilvl w:val="0"/>
          <w:numId w:val="30"/>
        </w:numPr>
      </w:pPr>
      <w:bookmarkStart w:id="18" w:name="_Toc492292899"/>
      <w:r w:rsidRPr="003E6D2C">
        <w:t>What samples collected</w:t>
      </w:r>
      <w:bookmarkEnd w:id="18"/>
    </w:p>
    <w:p w:rsidR="00A86FA6" w:rsidRDefault="00C7775E" w:rsidP="002D716D">
      <w:pPr>
        <w:spacing w:before="240"/>
        <w:ind w:left="720"/>
        <w:rPr>
          <w:sz w:val="24"/>
          <w:szCs w:val="24"/>
        </w:rPr>
      </w:pPr>
      <w:r w:rsidRPr="002D716D">
        <w:rPr>
          <w:sz w:val="24"/>
          <w:szCs w:val="24"/>
        </w:rPr>
        <w:t>Infection of humans with wild poliovirus is predomin</w:t>
      </w:r>
      <w:r w:rsidR="00F63E3B">
        <w:rPr>
          <w:sz w:val="24"/>
          <w:szCs w:val="24"/>
        </w:rPr>
        <w:t>antly via th</w:t>
      </w:r>
      <w:r w:rsidR="003E6D2C">
        <w:rPr>
          <w:sz w:val="24"/>
          <w:szCs w:val="24"/>
        </w:rPr>
        <w:t xml:space="preserve">e </w:t>
      </w:r>
      <w:proofErr w:type="spellStart"/>
      <w:r w:rsidR="003E6D2C">
        <w:rPr>
          <w:sz w:val="24"/>
          <w:szCs w:val="24"/>
        </w:rPr>
        <w:t>faecal</w:t>
      </w:r>
      <w:proofErr w:type="spellEnd"/>
      <w:r w:rsidR="003E6D2C">
        <w:rPr>
          <w:sz w:val="24"/>
          <w:szCs w:val="24"/>
        </w:rPr>
        <w:t>-oral route.</w:t>
      </w:r>
      <w:r w:rsidRPr="002D716D">
        <w:rPr>
          <w:sz w:val="24"/>
          <w:szCs w:val="24"/>
        </w:rPr>
        <w:t xml:space="preserve"> OPV is administered orally. Ingestion of either form of poliovirus</w:t>
      </w:r>
      <w:r w:rsidR="004221C9">
        <w:rPr>
          <w:sz w:val="24"/>
          <w:szCs w:val="24"/>
        </w:rPr>
        <w:t xml:space="preserve"> by a non-immune </w:t>
      </w:r>
      <w:r w:rsidR="00667F7F">
        <w:rPr>
          <w:sz w:val="24"/>
          <w:szCs w:val="24"/>
        </w:rPr>
        <w:t>person</w:t>
      </w:r>
      <w:r w:rsidRPr="002D716D">
        <w:rPr>
          <w:sz w:val="24"/>
          <w:szCs w:val="24"/>
        </w:rPr>
        <w:t xml:space="preserve"> leads to</w:t>
      </w:r>
      <w:r w:rsidR="00F63E3B">
        <w:rPr>
          <w:sz w:val="24"/>
          <w:szCs w:val="24"/>
        </w:rPr>
        <w:t xml:space="preserve"> an initial </w:t>
      </w:r>
      <w:r w:rsidRPr="002D716D">
        <w:rPr>
          <w:sz w:val="24"/>
          <w:szCs w:val="24"/>
        </w:rPr>
        <w:t xml:space="preserve">brief infection of the throat </w:t>
      </w:r>
      <w:r w:rsidR="00F63E3B">
        <w:rPr>
          <w:sz w:val="24"/>
          <w:szCs w:val="24"/>
        </w:rPr>
        <w:t xml:space="preserve">followed by a more prolonged infection </w:t>
      </w:r>
      <w:r w:rsidRPr="002D716D">
        <w:rPr>
          <w:sz w:val="24"/>
          <w:szCs w:val="24"/>
        </w:rPr>
        <w:t>of the gut epithelium</w:t>
      </w:r>
      <w:r w:rsidR="00F63E3B">
        <w:rPr>
          <w:sz w:val="24"/>
          <w:szCs w:val="24"/>
        </w:rPr>
        <w:t xml:space="preserve">. </w:t>
      </w:r>
      <w:r w:rsidR="00A86FA6">
        <w:rPr>
          <w:sz w:val="24"/>
          <w:szCs w:val="24"/>
        </w:rPr>
        <w:t>A</w:t>
      </w:r>
      <w:r w:rsidR="00A86FA6" w:rsidRPr="002D716D">
        <w:rPr>
          <w:sz w:val="24"/>
          <w:szCs w:val="24"/>
        </w:rPr>
        <w:t xml:space="preserve"> </w:t>
      </w:r>
      <w:r w:rsidRPr="002D716D">
        <w:rPr>
          <w:sz w:val="24"/>
          <w:szCs w:val="24"/>
        </w:rPr>
        <w:t xml:space="preserve">short period of viremia </w:t>
      </w:r>
      <w:r w:rsidR="004221C9">
        <w:rPr>
          <w:sz w:val="24"/>
          <w:szCs w:val="24"/>
        </w:rPr>
        <w:t>may occur</w:t>
      </w:r>
      <w:r w:rsidR="00316CB9">
        <w:rPr>
          <w:sz w:val="24"/>
          <w:szCs w:val="24"/>
        </w:rPr>
        <w:t xml:space="preserve"> during the early phase of infection</w:t>
      </w:r>
      <w:r w:rsidR="00A86FA6">
        <w:rPr>
          <w:sz w:val="24"/>
          <w:szCs w:val="24"/>
        </w:rPr>
        <w:t>.</w:t>
      </w:r>
      <w:r w:rsidRPr="002D716D">
        <w:rPr>
          <w:sz w:val="24"/>
          <w:szCs w:val="24"/>
        </w:rPr>
        <w:t xml:space="preserve"> </w:t>
      </w:r>
      <w:r w:rsidR="00A86FA6">
        <w:rPr>
          <w:sz w:val="24"/>
          <w:szCs w:val="24"/>
        </w:rPr>
        <w:t xml:space="preserve">In rare instances, </w:t>
      </w:r>
      <w:r w:rsidRPr="002D716D">
        <w:rPr>
          <w:sz w:val="24"/>
          <w:szCs w:val="24"/>
        </w:rPr>
        <w:t xml:space="preserve">the </w:t>
      </w:r>
      <w:r w:rsidR="00A86FA6">
        <w:rPr>
          <w:sz w:val="24"/>
          <w:szCs w:val="24"/>
        </w:rPr>
        <w:t xml:space="preserve">virus may cross the </w:t>
      </w:r>
      <w:r w:rsidRPr="002D716D">
        <w:rPr>
          <w:sz w:val="24"/>
          <w:szCs w:val="24"/>
        </w:rPr>
        <w:t>blood-brain barrier</w:t>
      </w:r>
      <w:r w:rsidR="00667F7F">
        <w:rPr>
          <w:sz w:val="24"/>
          <w:szCs w:val="24"/>
        </w:rPr>
        <w:t xml:space="preserve"> and</w:t>
      </w:r>
      <w:r w:rsidRPr="002D716D">
        <w:rPr>
          <w:sz w:val="24"/>
          <w:szCs w:val="24"/>
        </w:rPr>
        <w:t xml:space="preserve"> lead to meningitis or </w:t>
      </w:r>
      <w:r w:rsidR="007E6C34">
        <w:rPr>
          <w:sz w:val="24"/>
          <w:szCs w:val="24"/>
        </w:rPr>
        <w:t xml:space="preserve">paralytic </w:t>
      </w:r>
      <w:r w:rsidRPr="002D716D">
        <w:rPr>
          <w:sz w:val="24"/>
          <w:szCs w:val="24"/>
        </w:rPr>
        <w:t>poliomyelitis</w:t>
      </w:r>
      <w:r w:rsidR="00667F7F">
        <w:rPr>
          <w:sz w:val="24"/>
          <w:szCs w:val="24"/>
        </w:rPr>
        <w:t>,</w:t>
      </w:r>
      <w:r w:rsidRPr="002D716D">
        <w:rPr>
          <w:sz w:val="24"/>
          <w:szCs w:val="24"/>
        </w:rPr>
        <w:t xml:space="preserve"> depending on the site of virus replication. </w:t>
      </w:r>
      <w:r w:rsidR="00B21366">
        <w:rPr>
          <w:sz w:val="24"/>
          <w:szCs w:val="24"/>
        </w:rPr>
        <w:t xml:space="preserve">Poliovirus may replicate in the gut without </w:t>
      </w:r>
      <w:r w:rsidR="00316CB9">
        <w:rPr>
          <w:sz w:val="24"/>
          <w:szCs w:val="24"/>
        </w:rPr>
        <w:t xml:space="preserve">an initial </w:t>
      </w:r>
      <w:r w:rsidR="00B21366">
        <w:rPr>
          <w:sz w:val="24"/>
          <w:szCs w:val="24"/>
        </w:rPr>
        <w:t xml:space="preserve">throat infection. </w:t>
      </w:r>
      <w:r w:rsidR="003873EA">
        <w:rPr>
          <w:sz w:val="24"/>
          <w:szCs w:val="24"/>
        </w:rPr>
        <w:t xml:space="preserve">The </w:t>
      </w:r>
      <w:r w:rsidR="00667F7F">
        <w:rPr>
          <w:sz w:val="24"/>
          <w:szCs w:val="24"/>
        </w:rPr>
        <w:t xml:space="preserve">following describes the </w:t>
      </w:r>
      <w:r w:rsidR="003873EA">
        <w:rPr>
          <w:sz w:val="24"/>
          <w:szCs w:val="24"/>
        </w:rPr>
        <w:t xml:space="preserve">relative risk of </w:t>
      </w:r>
      <w:r w:rsidR="007E0CAC">
        <w:rPr>
          <w:sz w:val="24"/>
          <w:szCs w:val="24"/>
        </w:rPr>
        <w:t xml:space="preserve">different </w:t>
      </w:r>
      <w:r w:rsidR="003873EA">
        <w:rPr>
          <w:sz w:val="24"/>
          <w:szCs w:val="24"/>
        </w:rPr>
        <w:t>sample</w:t>
      </w:r>
      <w:r w:rsidR="007E0CAC">
        <w:rPr>
          <w:sz w:val="24"/>
          <w:szCs w:val="24"/>
        </w:rPr>
        <w:t xml:space="preserve"> types</w:t>
      </w:r>
      <w:r w:rsidR="00253B57">
        <w:rPr>
          <w:sz w:val="24"/>
          <w:szCs w:val="24"/>
        </w:rPr>
        <w:t xml:space="preserve">. </w:t>
      </w:r>
      <w:r w:rsidR="003873EA">
        <w:rPr>
          <w:sz w:val="24"/>
          <w:szCs w:val="24"/>
        </w:rPr>
        <w:t xml:space="preserve"> </w:t>
      </w:r>
    </w:p>
    <w:p w:rsidR="000401FB" w:rsidRDefault="000E5702" w:rsidP="002D716D">
      <w:pPr>
        <w:spacing w:before="240"/>
        <w:ind w:left="720"/>
        <w:rPr>
          <w:sz w:val="24"/>
          <w:szCs w:val="24"/>
        </w:rPr>
      </w:pPr>
      <w:proofErr w:type="spellStart"/>
      <w:r w:rsidRPr="002D716D">
        <w:rPr>
          <w:b/>
          <w:sz w:val="24"/>
          <w:szCs w:val="24"/>
        </w:rPr>
        <w:t>Faeces</w:t>
      </w:r>
      <w:proofErr w:type="spellEnd"/>
      <w:r w:rsidR="00AD0DC8" w:rsidRPr="002D716D">
        <w:rPr>
          <w:sz w:val="24"/>
          <w:szCs w:val="24"/>
        </w:rPr>
        <w:t xml:space="preserve">: </w:t>
      </w:r>
      <w:r w:rsidR="005A753D">
        <w:rPr>
          <w:sz w:val="24"/>
          <w:szCs w:val="24"/>
        </w:rPr>
        <w:t xml:space="preserve">PV isolation rates may vary widely in samples collected from asymptomatic subjects </w:t>
      </w:r>
      <w:r w:rsidR="00BD2BD8">
        <w:rPr>
          <w:sz w:val="24"/>
          <w:szCs w:val="24"/>
        </w:rPr>
        <w:t>i</w:t>
      </w:r>
      <w:r w:rsidR="005A753D">
        <w:rPr>
          <w:sz w:val="24"/>
          <w:szCs w:val="24"/>
        </w:rPr>
        <w:t>n a time and place where WPV/</w:t>
      </w:r>
      <w:proofErr w:type="spellStart"/>
      <w:r w:rsidR="005A753D">
        <w:rPr>
          <w:sz w:val="24"/>
          <w:szCs w:val="24"/>
        </w:rPr>
        <w:t>cVDPV</w:t>
      </w:r>
      <w:proofErr w:type="spellEnd"/>
      <w:r w:rsidR="005A753D">
        <w:rPr>
          <w:sz w:val="24"/>
          <w:szCs w:val="24"/>
        </w:rPr>
        <w:t xml:space="preserve"> or OPV-derived viruses were </w:t>
      </w:r>
      <w:r w:rsidR="00BD2BD8">
        <w:rPr>
          <w:sz w:val="24"/>
          <w:szCs w:val="24"/>
        </w:rPr>
        <w:t xml:space="preserve">in </w:t>
      </w:r>
      <w:r w:rsidR="005A753D">
        <w:rPr>
          <w:sz w:val="24"/>
          <w:szCs w:val="24"/>
        </w:rPr>
        <w:t>circulat</w:t>
      </w:r>
      <w:r w:rsidR="00BD2BD8">
        <w:rPr>
          <w:sz w:val="24"/>
          <w:szCs w:val="24"/>
        </w:rPr>
        <w:t>ion</w:t>
      </w:r>
      <w:r w:rsidR="005A753D">
        <w:rPr>
          <w:sz w:val="24"/>
          <w:szCs w:val="24"/>
        </w:rPr>
        <w:t xml:space="preserve"> or oral polio vaccines (OPV) </w:t>
      </w:r>
      <w:r w:rsidR="006834E3">
        <w:rPr>
          <w:sz w:val="24"/>
          <w:szCs w:val="24"/>
        </w:rPr>
        <w:t xml:space="preserve">were </w:t>
      </w:r>
      <w:r w:rsidR="00BD2BD8">
        <w:rPr>
          <w:sz w:val="24"/>
          <w:szCs w:val="24"/>
        </w:rPr>
        <w:t>i</w:t>
      </w:r>
      <w:r w:rsidR="005A753D">
        <w:rPr>
          <w:sz w:val="24"/>
          <w:szCs w:val="24"/>
        </w:rPr>
        <w:t>n use</w:t>
      </w:r>
      <w:r w:rsidR="00BD2BD8">
        <w:rPr>
          <w:sz w:val="24"/>
          <w:szCs w:val="24"/>
        </w:rPr>
        <w:t xml:space="preserve">.  A </w:t>
      </w:r>
      <w:r w:rsidR="004812AD">
        <w:rPr>
          <w:sz w:val="24"/>
          <w:szCs w:val="24"/>
        </w:rPr>
        <w:t xml:space="preserve">stool survey </w:t>
      </w:r>
      <w:r w:rsidR="00BD2BD8">
        <w:rPr>
          <w:sz w:val="24"/>
          <w:szCs w:val="24"/>
        </w:rPr>
        <w:t xml:space="preserve">in Cartagena </w:t>
      </w:r>
      <w:r w:rsidR="007E0CAC">
        <w:rPr>
          <w:sz w:val="24"/>
          <w:szCs w:val="24"/>
        </w:rPr>
        <w:t xml:space="preserve">in </w:t>
      </w:r>
      <w:r w:rsidR="00BD2BD8">
        <w:rPr>
          <w:sz w:val="24"/>
          <w:szCs w:val="24"/>
        </w:rPr>
        <w:t xml:space="preserve">1989 reported </w:t>
      </w:r>
      <w:r w:rsidR="004812AD">
        <w:rPr>
          <w:sz w:val="24"/>
          <w:szCs w:val="24"/>
        </w:rPr>
        <w:t>a</w:t>
      </w:r>
      <w:r w:rsidR="000401FB">
        <w:rPr>
          <w:sz w:val="24"/>
          <w:szCs w:val="24"/>
        </w:rPr>
        <w:t xml:space="preserve"> WPV</w:t>
      </w:r>
      <w:r w:rsidR="004812AD">
        <w:rPr>
          <w:sz w:val="24"/>
          <w:szCs w:val="24"/>
        </w:rPr>
        <w:t xml:space="preserve"> isolation rate of </w:t>
      </w:r>
      <w:r w:rsidR="00BD2BD8">
        <w:rPr>
          <w:sz w:val="24"/>
          <w:szCs w:val="24"/>
        </w:rPr>
        <w:t>8%</w:t>
      </w:r>
      <w:r w:rsidR="004812AD">
        <w:rPr>
          <w:sz w:val="24"/>
          <w:szCs w:val="24"/>
        </w:rPr>
        <w:t xml:space="preserve">, with the highest </w:t>
      </w:r>
      <w:r w:rsidR="006834E3">
        <w:rPr>
          <w:sz w:val="24"/>
          <w:szCs w:val="24"/>
        </w:rPr>
        <w:t xml:space="preserve">rate </w:t>
      </w:r>
      <w:r w:rsidR="004812AD">
        <w:rPr>
          <w:sz w:val="24"/>
          <w:szCs w:val="24"/>
        </w:rPr>
        <w:t xml:space="preserve">being reported from Mumbai </w:t>
      </w:r>
      <w:r w:rsidR="007E0CAC">
        <w:rPr>
          <w:sz w:val="24"/>
          <w:szCs w:val="24"/>
        </w:rPr>
        <w:t xml:space="preserve">in </w:t>
      </w:r>
      <w:r w:rsidR="004812AD">
        <w:rPr>
          <w:sz w:val="24"/>
          <w:szCs w:val="24"/>
        </w:rPr>
        <w:t xml:space="preserve">1994 at 19%.  </w:t>
      </w:r>
      <w:proofErr w:type="gramStart"/>
      <w:r w:rsidR="00272F09">
        <w:rPr>
          <w:sz w:val="24"/>
          <w:szCs w:val="24"/>
        </w:rPr>
        <w:t xml:space="preserve">A survey of </w:t>
      </w:r>
      <w:r w:rsidR="00D05F08">
        <w:rPr>
          <w:sz w:val="24"/>
          <w:szCs w:val="24"/>
        </w:rPr>
        <w:t xml:space="preserve">asymptomatic persons of all ages in </w:t>
      </w:r>
      <w:r w:rsidR="00272F09">
        <w:rPr>
          <w:sz w:val="24"/>
          <w:szCs w:val="24"/>
        </w:rPr>
        <w:t xml:space="preserve">index </w:t>
      </w:r>
      <w:r w:rsidR="001C4EBE">
        <w:rPr>
          <w:sz w:val="24"/>
          <w:szCs w:val="24"/>
        </w:rPr>
        <w:t xml:space="preserve">households </w:t>
      </w:r>
      <w:r w:rsidR="00272F09">
        <w:rPr>
          <w:sz w:val="24"/>
          <w:szCs w:val="24"/>
        </w:rPr>
        <w:t>and neighboring households in Uttar Pradesh, India</w:t>
      </w:r>
      <w:r w:rsidR="006834E3">
        <w:rPr>
          <w:sz w:val="24"/>
          <w:szCs w:val="24"/>
        </w:rPr>
        <w:t>,</w:t>
      </w:r>
      <w:r w:rsidR="00272F09">
        <w:rPr>
          <w:sz w:val="24"/>
          <w:szCs w:val="24"/>
        </w:rPr>
        <w:t xml:space="preserve"> in 2009 found </w:t>
      </w:r>
      <w:r w:rsidR="00D05F08">
        <w:rPr>
          <w:sz w:val="24"/>
          <w:szCs w:val="24"/>
        </w:rPr>
        <w:t>4.8% were</w:t>
      </w:r>
      <w:proofErr w:type="gramEnd"/>
      <w:r w:rsidR="00D05F08">
        <w:rPr>
          <w:sz w:val="24"/>
          <w:szCs w:val="24"/>
        </w:rPr>
        <w:t xml:space="preserve"> shedding </w:t>
      </w:r>
      <w:r w:rsidR="00272F09">
        <w:rPr>
          <w:sz w:val="24"/>
          <w:szCs w:val="24"/>
        </w:rPr>
        <w:t>WPV</w:t>
      </w:r>
      <w:r w:rsidR="00D05F08">
        <w:rPr>
          <w:sz w:val="24"/>
          <w:szCs w:val="24"/>
        </w:rPr>
        <w:t xml:space="preserve">.  </w:t>
      </w:r>
      <w:r w:rsidR="00BC6D68">
        <w:rPr>
          <w:sz w:val="24"/>
          <w:szCs w:val="24"/>
        </w:rPr>
        <w:t>Studies undertaken in Bihar</w:t>
      </w:r>
      <w:r w:rsidR="006834E3">
        <w:rPr>
          <w:sz w:val="24"/>
          <w:szCs w:val="24"/>
        </w:rPr>
        <w:t>, India,</w:t>
      </w:r>
      <w:r w:rsidR="00BC6D68">
        <w:rPr>
          <w:sz w:val="24"/>
          <w:szCs w:val="24"/>
        </w:rPr>
        <w:t xml:space="preserve"> by the same group reported </w:t>
      </w:r>
      <w:r w:rsidR="007E0CAC">
        <w:rPr>
          <w:sz w:val="24"/>
          <w:szCs w:val="24"/>
        </w:rPr>
        <w:t xml:space="preserve">a </w:t>
      </w:r>
      <w:r w:rsidR="00BC6D68">
        <w:rPr>
          <w:sz w:val="24"/>
          <w:szCs w:val="24"/>
        </w:rPr>
        <w:t xml:space="preserve">2.5% </w:t>
      </w:r>
      <w:r w:rsidR="007E0CAC">
        <w:rPr>
          <w:sz w:val="24"/>
          <w:szCs w:val="24"/>
        </w:rPr>
        <w:t>stool-</w:t>
      </w:r>
      <w:r w:rsidR="00BC6D68">
        <w:rPr>
          <w:sz w:val="24"/>
          <w:szCs w:val="24"/>
        </w:rPr>
        <w:t>positive rate for any PV.</w:t>
      </w:r>
      <w:r w:rsidR="00272F09">
        <w:rPr>
          <w:sz w:val="24"/>
          <w:szCs w:val="24"/>
        </w:rPr>
        <w:t xml:space="preserve"> </w:t>
      </w:r>
    </w:p>
    <w:p w:rsidR="00BC6D68" w:rsidRDefault="000401FB" w:rsidP="002D716D">
      <w:pPr>
        <w:spacing w:before="240"/>
        <w:ind w:left="720"/>
        <w:rPr>
          <w:sz w:val="24"/>
          <w:szCs w:val="24"/>
        </w:rPr>
      </w:pPr>
      <w:r>
        <w:rPr>
          <w:sz w:val="24"/>
          <w:szCs w:val="24"/>
        </w:rPr>
        <w:t>I</w:t>
      </w:r>
      <w:r w:rsidR="004812AD">
        <w:rPr>
          <w:sz w:val="24"/>
          <w:szCs w:val="24"/>
        </w:rPr>
        <w:t xml:space="preserve">ncidental PV in </w:t>
      </w:r>
      <w:r w:rsidR="002E1167">
        <w:rPr>
          <w:sz w:val="24"/>
          <w:szCs w:val="24"/>
        </w:rPr>
        <w:t xml:space="preserve">PIM </w:t>
      </w:r>
      <w:r w:rsidR="0098068A">
        <w:rPr>
          <w:sz w:val="24"/>
          <w:szCs w:val="24"/>
        </w:rPr>
        <w:t>has been</w:t>
      </w:r>
      <w:r w:rsidR="004812AD">
        <w:rPr>
          <w:sz w:val="24"/>
          <w:szCs w:val="24"/>
        </w:rPr>
        <w:t xml:space="preserve"> found in </w:t>
      </w:r>
      <w:r>
        <w:rPr>
          <w:sz w:val="24"/>
          <w:szCs w:val="24"/>
        </w:rPr>
        <w:t xml:space="preserve">the </w:t>
      </w:r>
      <w:r w:rsidR="004812AD">
        <w:rPr>
          <w:sz w:val="24"/>
          <w:szCs w:val="24"/>
        </w:rPr>
        <w:t>test</w:t>
      </w:r>
      <w:r w:rsidR="001E7286">
        <w:rPr>
          <w:sz w:val="24"/>
          <w:szCs w:val="24"/>
        </w:rPr>
        <w:t xml:space="preserve"> results </w:t>
      </w:r>
      <w:r w:rsidR="008D052B">
        <w:rPr>
          <w:sz w:val="24"/>
          <w:szCs w:val="24"/>
        </w:rPr>
        <w:t xml:space="preserve">(2002) </w:t>
      </w:r>
      <w:r w:rsidR="001E7286">
        <w:rPr>
          <w:sz w:val="24"/>
          <w:szCs w:val="24"/>
        </w:rPr>
        <w:t>from</w:t>
      </w:r>
      <w:r w:rsidR="004812AD">
        <w:rPr>
          <w:sz w:val="24"/>
          <w:szCs w:val="24"/>
        </w:rPr>
        <w:t xml:space="preserve"> </w:t>
      </w:r>
      <w:r w:rsidR="00B7316F">
        <w:rPr>
          <w:sz w:val="24"/>
          <w:szCs w:val="24"/>
        </w:rPr>
        <w:t xml:space="preserve">stool samples </w:t>
      </w:r>
      <w:r w:rsidR="002E1167">
        <w:rPr>
          <w:sz w:val="24"/>
          <w:szCs w:val="24"/>
        </w:rPr>
        <w:t>stored for more than 20 years in a gastroenteritis laboratory</w:t>
      </w:r>
      <w:r w:rsidR="00B7316F">
        <w:rPr>
          <w:sz w:val="24"/>
          <w:szCs w:val="24"/>
        </w:rPr>
        <w:t>. In the first collection, six wild viruses and one Sabin virus were recovered from 82 samples</w:t>
      </w:r>
      <w:r w:rsidR="001E7286">
        <w:rPr>
          <w:sz w:val="24"/>
          <w:szCs w:val="24"/>
        </w:rPr>
        <w:t xml:space="preserve"> (9%)</w:t>
      </w:r>
      <w:r w:rsidR="00B7316F">
        <w:rPr>
          <w:sz w:val="24"/>
          <w:szCs w:val="24"/>
        </w:rPr>
        <w:t>. In the second, six Sabin viruses were recovered from 183 samples</w:t>
      </w:r>
      <w:r w:rsidR="001E7286">
        <w:rPr>
          <w:sz w:val="24"/>
          <w:szCs w:val="24"/>
        </w:rPr>
        <w:t xml:space="preserve"> (2%)</w:t>
      </w:r>
      <w:r w:rsidR="00B7316F">
        <w:rPr>
          <w:sz w:val="24"/>
          <w:szCs w:val="24"/>
        </w:rPr>
        <w:t>.</w:t>
      </w:r>
      <w:r w:rsidR="002E1167">
        <w:rPr>
          <w:sz w:val="24"/>
          <w:szCs w:val="24"/>
        </w:rPr>
        <w:t xml:space="preserve"> </w:t>
      </w:r>
      <w:r w:rsidR="0098068A">
        <w:rPr>
          <w:sz w:val="24"/>
          <w:szCs w:val="24"/>
        </w:rPr>
        <w:t>In 2016, Sabin poliovirus was detected in 5.2% of 241,999 stool samples collected globally for AFP surveillance</w:t>
      </w:r>
      <w:r w:rsidR="0098068A" w:rsidRPr="002D716D">
        <w:rPr>
          <w:sz w:val="24"/>
          <w:szCs w:val="24"/>
        </w:rPr>
        <w:t xml:space="preserve">. </w:t>
      </w:r>
      <w:r w:rsidR="0098068A">
        <w:rPr>
          <w:sz w:val="24"/>
          <w:szCs w:val="24"/>
        </w:rPr>
        <w:t xml:space="preserve"> </w:t>
      </w:r>
    </w:p>
    <w:p w:rsidR="007F0C68" w:rsidRDefault="00AD0DC8" w:rsidP="002D716D">
      <w:pPr>
        <w:spacing w:before="240"/>
        <w:ind w:left="720"/>
        <w:rPr>
          <w:sz w:val="24"/>
          <w:szCs w:val="24"/>
        </w:rPr>
      </w:pPr>
      <w:r w:rsidRPr="002D716D">
        <w:rPr>
          <w:sz w:val="24"/>
          <w:szCs w:val="24"/>
        </w:rPr>
        <w:lastRenderedPageBreak/>
        <w:t xml:space="preserve">WPV strains present the greatest transmission risk with an estimated human minimum </w:t>
      </w:r>
      <w:r w:rsidR="009574EF" w:rsidRPr="002D716D">
        <w:rPr>
          <w:sz w:val="24"/>
          <w:szCs w:val="24"/>
        </w:rPr>
        <w:t xml:space="preserve">infectious </w:t>
      </w:r>
      <w:r w:rsidRPr="002D716D">
        <w:rPr>
          <w:sz w:val="24"/>
          <w:szCs w:val="24"/>
        </w:rPr>
        <w:t xml:space="preserve">dose of </w:t>
      </w:r>
      <w:r w:rsidR="001D1389" w:rsidRPr="002D716D">
        <w:rPr>
          <w:sz w:val="24"/>
          <w:szCs w:val="24"/>
        </w:rPr>
        <w:t>100-</w:t>
      </w:r>
      <w:r w:rsidRPr="002D716D">
        <w:rPr>
          <w:sz w:val="24"/>
          <w:szCs w:val="24"/>
        </w:rPr>
        <w:t xml:space="preserve">fold less than for OPV strains. Epidemiologic models and field studies estimate transmissibility </w:t>
      </w:r>
      <w:r w:rsidR="007F0C68" w:rsidRPr="002D716D">
        <w:rPr>
          <w:sz w:val="24"/>
          <w:szCs w:val="24"/>
        </w:rPr>
        <w:t>for WPV/</w:t>
      </w:r>
      <w:proofErr w:type="spellStart"/>
      <w:r w:rsidR="007F0C68" w:rsidRPr="002D716D">
        <w:rPr>
          <w:sz w:val="24"/>
          <w:szCs w:val="24"/>
        </w:rPr>
        <w:t>cVDPV</w:t>
      </w:r>
      <w:proofErr w:type="spellEnd"/>
      <w:r w:rsidR="007F0C68" w:rsidRPr="002D716D">
        <w:rPr>
          <w:sz w:val="24"/>
          <w:szCs w:val="24"/>
        </w:rPr>
        <w:t xml:space="preserve"> </w:t>
      </w:r>
      <w:r w:rsidRPr="002D716D">
        <w:rPr>
          <w:sz w:val="24"/>
          <w:szCs w:val="24"/>
        </w:rPr>
        <w:t xml:space="preserve">to be more than </w:t>
      </w:r>
      <w:r w:rsidR="001D1389" w:rsidRPr="002D716D">
        <w:rPr>
          <w:sz w:val="24"/>
          <w:szCs w:val="24"/>
        </w:rPr>
        <w:t>10-</w:t>
      </w:r>
      <w:r w:rsidRPr="002D716D">
        <w:rPr>
          <w:sz w:val="24"/>
          <w:szCs w:val="24"/>
        </w:rPr>
        <w:t xml:space="preserve">fold greater than for OPV. Secondary spread of WPV was reported to </w:t>
      </w:r>
      <w:r w:rsidR="0098068A">
        <w:rPr>
          <w:sz w:val="24"/>
          <w:szCs w:val="24"/>
        </w:rPr>
        <w:t>approach</w:t>
      </w:r>
      <w:r w:rsidR="0098068A" w:rsidRPr="002D716D">
        <w:rPr>
          <w:sz w:val="24"/>
          <w:szCs w:val="24"/>
        </w:rPr>
        <w:t xml:space="preserve"> </w:t>
      </w:r>
      <w:r w:rsidRPr="002D716D">
        <w:rPr>
          <w:sz w:val="24"/>
          <w:szCs w:val="24"/>
        </w:rPr>
        <w:t>90% among susceptible contacts in family and institutional settings</w:t>
      </w:r>
      <w:r w:rsidR="001D1389" w:rsidRPr="002D716D">
        <w:rPr>
          <w:sz w:val="24"/>
          <w:szCs w:val="24"/>
        </w:rPr>
        <w:t>,</w:t>
      </w:r>
      <w:r w:rsidRPr="002D716D">
        <w:rPr>
          <w:sz w:val="24"/>
          <w:szCs w:val="24"/>
        </w:rPr>
        <w:t xml:space="preserve"> with secondary spread of OPV strains less than half that. </w:t>
      </w:r>
    </w:p>
    <w:p w:rsidR="00AD0DC8" w:rsidRPr="002D716D" w:rsidRDefault="00AD0DC8" w:rsidP="002D716D">
      <w:pPr>
        <w:spacing w:before="240"/>
        <w:ind w:left="720"/>
        <w:rPr>
          <w:b/>
          <w:sz w:val="24"/>
          <w:szCs w:val="24"/>
        </w:rPr>
      </w:pPr>
      <w:r w:rsidRPr="002D716D">
        <w:rPr>
          <w:sz w:val="24"/>
          <w:szCs w:val="24"/>
        </w:rPr>
        <w:t>OPV circulation in the community rarely exceed</w:t>
      </w:r>
      <w:r w:rsidR="007F0C68">
        <w:rPr>
          <w:sz w:val="24"/>
          <w:szCs w:val="24"/>
        </w:rPr>
        <w:t>s</w:t>
      </w:r>
      <w:r w:rsidRPr="002D716D">
        <w:rPr>
          <w:sz w:val="24"/>
          <w:szCs w:val="24"/>
        </w:rPr>
        <w:t xml:space="preserve"> three months after a</w:t>
      </w:r>
      <w:r w:rsidR="001D1389" w:rsidRPr="002D716D">
        <w:rPr>
          <w:sz w:val="24"/>
          <w:szCs w:val="24"/>
        </w:rPr>
        <w:t>n immunization</w:t>
      </w:r>
      <w:r w:rsidRPr="002D716D">
        <w:rPr>
          <w:sz w:val="24"/>
          <w:szCs w:val="24"/>
        </w:rPr>
        <w:t xml:space="preserve"> campaign. Immunologically naïve subjects may shed WPV</w:t>
      </w:r>
      <w:r w:rsidR="00BD67B7">
        <w:rPr>
          <w:sz w:val="24"/>
          <w:szCs w:val="24"/>
        </w:rPr>
        <w:t>/</w:t>
      </w:r>
      <w:proofErr w:type="spellStart"/>
      <w:r w:rsidR="00BD67B7">
        <w:rPr>
          <w:sz w:val="24"/>
          <w:szCs w:val="24"/>
        </w:rPr>
        <w:t>cVDPV</w:t>
      </w:r>
      <w:proofErr w:type="spellEnd"/>
      <w:r w:rsidRPr="002D716D">
        <w:rPr>
          <w:sz w:val="24"/>
          <w:szCs w:val="24"/>
        </w:rPr>
        <w:t xml:space="preserve">, OPV, or OPV-derived viruses over a range of </w:t>
      </w:r>
      <w:r w:rsidR="00131EA2" w:rsidRPr="002D716D">
        <w:rPr>
          <w:sz w:val="24"/>
          <w:szCs w:val="24"/>
        </w:rPr>
        <w:t>cell culture infectious doses</w:t>
      </w:r>
      <w:r w:rsidR="007F0C68">
        <w:rPr>
          <w:sz w:val="24"/>
          <w:szCs w:val="24"/>
        </w:rPr>
        <w:t xml:space="preserve"> (CCID)</w:t>
      </w:r>
      <w:r w:rsidR="00131EA2" w:rsidRPr="002D716D">
        <w:rPr>
          <w:sz w:val="24"/>
          <w:szCs w:val="24"/>
        </w:rPr>
        <w:t xml:space="preserve"> </w:t>
      </w:r>
      <w:r w:rsidRPr="002D716D">
        <w:rPr>
          <w:sz w:val="24"/>
          <w:szCs w:val="24"/>
        </w:rPr>
        <w:t>up to 10</w:t>
      </w:r>
      <w:r w:rsidRPr="002D716D">
        <w:rPr>
          <w:sz w:val="24"/>
          <w:szCs w:val="24"/>
          <w:vertAlign w:val="superscript"/>
        </w:rPr>
        <w:t>6</w:t>
      </w:r>
      <w:r w:rsidR="0098068A">
        <w:rPr>
          <w:sz w:val="24"/>
          <w:szCs w:val="24"/>
        </w:rPr>
        <w:t xml:space="preserve"> </w:t>
      </w:r>
      <w:r w:rsidRPr="002D716D">
        <w:rPr>
          <w:sz w:val="24"/>
          <w:szCs w:val="24"/>
        </w:rPr>
        <w:t>CCID</w:t>
      </w:r>
      <w:r w:rsidRPr="002D716D">
        <w:rPr>
          <w:sz w:val="24"/>
          <w:szCs w:val="24"/>
          <w:vertAlign w:val="subscript"/>
        </w:rPr>
        <w:t>50</w:t>
      </w:r>
      <w:r w:rsidRPr="002D716D">
        <w:rPr>
          <w:sz w:val="24"/>
          <w:szCs w:val="24"/>
        </w:rPr>
        <w:t>/g (mean ~10</w:t>
      </w:r>
      <w:r w:rsidRPr="002D716D">
        <w:rPr>
          <w:sz w:val="24"/>
          <w:szCs w:val="24"/>
          <w:vertAlign w:val="superscript"/>
        </w:rPr>
        <w:t>4</w:t>
      </w:r>
      <w:r w:rsidR="007F0C68" w:rsidRPr="007F0C68">
        <w:rPr>
          <w:sz w:val="24"/>
          <w:szCs w:val="24"/>
        </w:rPr>
        <w:t xml:space="preserve"> </w:t>
      </w:r>
      <w:r w:rsidR="007F0C68" w:rsidRPr="002D716D">
        <w:rPr>
          <w:sz w:val="24"/>
          <w:szCs w:val="24"/>
        </w:rPr>
        <w:t>CCID</w:t>
      </w:r>
      <w:r w:rsidR="007F0C68" w:rsidRPr="002D716D">
        <w:rPr>
          <w:sz w:val="24"/>
          <w:szCs w:val="24"/>
          <w:vertAlign w:val="subscript"/>
        </w:rPr>
        <w:t>50</w:t>
      </w:r>
      <w:r w:rsidRPr="002D716D">
        <w:rPr>
          <w:sz w:val="24"/>
          <w:szCs w:val="24"/>
        </w:rPr>
        <w:t>/g) stool</w:t>
      </w:r>
      <w:r w:rsidR="0098068A">
        <w:rPr>
          <w:sz w:val="24"/>
          <w:szCs w:val="24"/>
        </w:rPr>
        <w:t>)</w:t>
      </w:r>
      <w:r w:rsidRPr="002D716D">
        <w:rPr>
          <w:sz w:val="24"/>
          <w:szCs w:val="24"/>
        </w:rPr>
        <w:t xml:space="preserve"> for 6 weeks to 3 months, although </w:t>
      </w:r>
      <w:r w:rsidR="007F0C68">
        <w:rPr>
          <w:sz w:val="24"/>
          <w:szCs w:val="24"/>
        </w:rPr>
        <w:t xml:space="preserve">shedding </w:t>
      </w:r>
      <w:r w:rsidRPr="002D716D">
        <w:rPr>
          <w:sz w:val="24"/>
          <w:szCs w:val="24"/>
        </w:rPr>
        <w:t xml:space="preserve">duration sometimes </w:t>
      </w:r>
      <w:r w:rsidR="007F0C68">
        <w:rPr>
          <w:sz w:val="24"/>
          <w:szCs w:val="24"/>
        </w:rPr>
        <w:t xml:space="preserve">may be </w:t>
      </w:r>
      <w:r w:rsidRPr="002D716D">
        <w:rPr>
          <w:sz w:val="24"/>
          <w:szCs w:val="24"/>
        </w:rPr>
        <w:t xml:space="preserve">less for OPV/Sabin strains.  Poliovirus re-infections of the gut may occur, depending on virus challenge </w:t>
      </w:r>
      <w:r w:rsidR="00253B57">
        <w:rPr>
          <w:sz w:val="24"/>
          <w:szCs w:val="24"/>
        </w:rPr>
        <w:t>dose</w:t>
      </w:r>
      <w:r w:rsidRPr="002D716D">
        <w:rPr>
          <w:sz w:val="24"/>
          <w:szCs w:val="24"/>
        </w:rPr>
        <w:t xml:space="preserve"> and length of time since </w:t>
      </w:r>
      <w:r w:rsidR="00932CA0" w:rsidRPr="002D716D">
        <w:rPr>
          <w:sz w:val="24"/>
          <w:szCs w:val="24"/>
        </w:rPr>
        <w:t xml:space="preserve">receipt of </w:t>
      </w:r>
      <w:r w:rsidRPr="002D716D">
        <w:rPr>
          <w:sz w:val="24"/>
          <w:szCs w:val="24"/>
        </w:rPr>
        <w:t xml:space="preserve">OPV or natural infection. Virus concentration and duration of fecal shedding is generally </w:t>
      </w:r>
      <w:r w:rsidR="009574EF" w:rsidRPr="002D716D">
        <w:rPr>
          <w:sz w:val="24"/>
          <w:szCs w:val="24"/>
        </w:rPr>
        <w:t xml:space="preserve">lower </w:t>
      </w:r>
      <w:r w:rsidRPr="002D716D">
        <w:rPr>
          <w:sz w:val="24"/>
          <w:szCs w:val="24"/>
        </w:rPr>
        <w:t xml:space="preserve">on re-infection. IPV immunization has little or no effect on </w:t>
      </w:r>
      <w:r w:rsidR="007F0C68">
        <w:rPr>
          <w:sz w:val="24"/>
          <w:szCs w:val="24"/>
        </w:rPr>
        <w:t xml:space="preserve">the susceptibility of the </w:t>
      </w:r>
      <w:r w:rsidRPr="002D716D">
        <w:rPr>
          <w:sz w:val="24"/>
          <w:szCs w:val="24"/>
        </w:rPr>
        <w:t>gut</w:t>
      </w:r>
      <w:r w:rsidR="00E62DBC">
        <w:rPr>
          <w:sz w:val="24"/>
          <w:szCs w:val="24"/>
        </w:rPr>
        <w:t xml:space="preserve"> to PV</w:t>
      </w:r>
      <w:r w:rsidRPr="002D716D">
        <w:rPr>
          <w:sz w:val="24"/>
          <w:szCs w:val="24"/>
        </w:rPr>
        <w:t xml:space="preserve"> infection.</w:t>
      </w:r>
    </w:p>
    <w:p w:rsidR="00AD0DC8" w:rsidRPr="008846F9" w:rsidRDefault="00AD0DC8" w:rsidP="002D716D">
      <w:pPr>
        <w:spacing w:before="240"/>
        <w:ind w:left="720"/>
        <w:rPr>
          <w:sz w:val="24"/>
          <w:szCs w:val="24"/>
        </w:rPr>
      </w:pPr>
      <w:r w:rsidRPr="001E1DEF">
        <w:rPr>
          <w:b/>
          <w:sz w:val="24"/>
          <w:szCs w:val="24"/>
        </w:rPr>
        <w:t>Nasopharyngeal</w:t>
      </w:r>
      <w:r w:rsidR="001077F4">
        <w:rPr>
          <w:b/>
          <w:sz w:val="24"/>
          <w:szCs w:val="24"/>
        </w:rPr>
        <w:t>, oropharyngeal, and other upper respiratory tract</w:t>
      </w:r>
      <w:r w:rsidRPr="001E1DEF">
        <w:rPr>
          <w:b/>
          <w:sz w:val="24"/>
          <w:szCs w:val="24"/>
        </w:rPr>
        <w:t xml:space="preserve"> secretions:</w:t>
      </w:r>
      <w:r w:rsidRPr="008846F9">
        <w:rPr>
          <w:sz w:val="24"/>
          <w:szCs w:val="24"/>
        </w:rPr>
        <w:t xml:space="preserve"> Similarly, WPV</w:t>
      </w:r>
      <w:r w:rsidR="00BD67B7">
        <w:rPr>
          <w:sz w:val="24"/>
          <w:szCs w:val="24"/>
        </w:rPr>
        <w:t>/</w:t>
      </w:r>
      <w:proofErr w:type="spellStart"/>
      <w:r w:rsidR="00BD67B7">
        <w:rPr>
          <w:sz w:val="24"/>
          <w:szCs w:val="24"/>
        </w:rPr>
        <w:t>cVDPV</w:t>
      </w:r>
      <w:proofErr w:type="spellEnd"/>
      <w:r w:rsidRPr="008846F9">
        <w:rPr>
          <w:sz w:val="24"/>
          <w:szCs w:val="24"/>
        </w:rPr>
        <w:t xml:space="preserve"> and OPV</w:t>
      </w:r>
      <w:r w:rsidR="00BD67B7">
        <w:rPr>
          <w:sz w:val="24"/>
          <w:szCs w:val="24"/>
        </w:rPr>
        <w:t>/Sabin</w:t>
      </w:r>
      <w:r w:rsidRPr="008846F9">
        <w:rPr>
          <w:sz w:val="24"/>
          <w:szCs w:val="24"/>
        </w:rPr>
        <w:t xml:space="preserve"> viruses may be recovered from </w:t>
      </w:r>
      <w:r w:rsidR="001077F4" w:rsidRPr="00DD0903">
        <w:rPr>
          <w:sz w:val="24"/>
          <w:szCs w:val="24"/>
        </w:rPr>
        <w:t xml:space="preserve">respiratory </w:t>
      </w:r>
      <w:r w:rsidRPr="008846F9">
        <w:rPr>
          <w:sz w:val="24"/>
          <w:szCs w:val="24"/>
        </w:rPr>
        <w:t xml:space="preserve">secretions of naïve subjects at about the same concentrations for a period 2-6 days, but virus shedding wanes and usually disappears </w:t>
      </w:r>
      <w:r w:rsidR="001D1389">
        <w:rPr>
          <w:sz w:val="24"/>
          <w:szCs w:val="24"/>
        </w:rPr>
        <w:t>at</w:t>
      </w:r>
      <w:r w:rsidR="001D1389" w:rsidRPr="008846F9">
        <w:rPr>
          <w:sz w:val="24"/>
          <w:szCs w:val="24"/>
        </w:rPr>
        <w:t xml:space="preserve"> </w:t>
      </w:r>
      <w:r w:rsidRPr="008846F9">
        <w:rPr>
          <w:sz w:val="24"/>
          <w:szCs w:val="24"/>
        </w:rPr>
        <w:t>7-10 days</w:t>
      </w:r>
      <w:r w:rsidR="001D1389">
        <w:rPr>
          <w:sz w:val="24"/>
          <w:szCs w:val="24"/>
        </w:rPr>
        <w:t xml:space="preserve"> post-infection</w:t>
      </w:r>
      <w:r w:rsidRPr="008846F9">
        <w:rPr>
          <w:sz w:val="24"/>
          <w:szCs w:val="24"/>
        </w:rPr>
        <w:t xml:space="preserve">, coinciding with the appearance of serum antibodies. Virus is rarely recovered from </w:t>
      </w:r>
      <w:r w:rsidR="001077F4" w:rsidRPr="00DD0903">
        <w:rPr>
          <w:sz w:val="24"/>
          <w:szCs w:val="24"/>
        </w:rPr>
        <w:t xml:space="preserve">respiratory </w:t>
      </w:r>
      <w:r w:rsidRPr="008846F9">
        <w:rPr>
          <w:sz w:val="24"/>
          <w:szCs w:val="24"/>
        </w:rPr>
        <w:t xml:space="preserve">secretions after WPV or OPV challenge of persons with measurable serum antibody, including IPV recipients. Based on the limited duration of post-infection virus shedding and absence of shedding on re-infection, the probability of recovering poliovirus from </w:t>
      </w:r>
      <w:r w:rsidR="001077F4" w:rsidRPr="00DD0903">
        <w:rPr>
          <w:sz w:val="24"/>
          <w:szCs w:val="24"/>
        </w:rPr>
        <w:t xml:space="preserve">respiratory </w:t>
      </w:r>
      <w:r w:rsidRPr="008846F9">
        <w:rPr>
          <w:sz w:val="24"/>
          <w:szCs w:val="24"/>
        </w:rPr>
        <w:t>secretions</w:t>
      </w:r>
      <w:r w:rsidR="00976579">
        <w:rPr>
          <w:sz w:val="24"/>
          <w:szCs w:val="24"/>
        </w:rPr>
        <w:t xml:space="preserve"> </w:t>
      </w:r>
      <w:r w:rsidR="00F938BA">
        <w:rPr>
          <w:sz w:val="24"/>
          <w:szCs w:val="24"/>
        </w:rPr>
        <w:t>i</w:t>
      </w:r>
      <w:r w:rsidR="00976579">
        <w:rPr>
          <w:sz w:val="24"/>
          <w:szCs w:val="24"/>
        </w:rPr>
        <w:t>n surveys</w:t>
      </w:r>
      <w:r w:rsidRPr="008846F9">
        <w:rPr>
          <w:sz w:val="24"/>
          <w:szCs w:val="24"/>
        </w:rPr>
        <w:t xml:space="preserve"> is estimated to be</w:t>
      </w:r>
      <w:r w:rsidR="00976579">
        <w:rPr>
          <w:sz w:val="24"/>
          <w:szCs w:val="24"/>
        </w:rPr>
        <w:t xml:space="preserve"> </w:t>
      </w:r>
      <w:r w:rsidR="00F938BA">
        <w:rPr>
          <w:sz w:val="24"/>
          <w:szCs w:val="24"/>
        </w:rPr>
        <w:t>&lt;</w:t>
      </w:r>
      <w:r w:rsidR="00976579">
        <w:rPr>
          <w:sz w:val="24"/>
          <w:szCs w:val="24"/>
        </w:rPr>
        <w:t>1%, or</w:t>
      </w:r>
      <w:r w:rsidRPr="008846F9">
        <w:rPr>
          <w:sz w:val="24"/>
          <w:szCs w:val="24"/>
        </w:rPr>
        <w:t xml:space="preserve"> at least </w:t>
      </w:r>
      <w:r w:rsidR="001D1389" w:rsidRPr="008846F9">
        <w:rPr>
          <w:sz w:val="24"/>
          <w:szCs w:val="24"/>
        </w:rPr>
        <w:t>10</w:t>
      </w:r>
      <w:r w:rsidR="001D1389">
        <w:rPr>
          <w:sz w:val="24"/>
          <w:szCs w:val="24"/>
        </w:rPr>
        <w:t>-</w:t>
      </w:r>
      <w:r w:rsidRPr="008846F9">
        <w:rPr>
          <w:sz w:val="24"/>
          <w:szCs w:val="24"/>
        </w:rPr>
        <w:t>fold less than from stool samples</w:t>
      </w:r>
      <w:r w:rsidR="00F938BA">
        <w:rPr>
          <w:sz w:val="24"/>
          <w:szCs w:val="24"/>
        </w:rPr>
        <w:t xml:space="preserve">. </w:t>
      </w:r>
      <w:r w:rsidR="00E162FB">
        <w:rPr>
          <w:sz w:val="24"/>
          <w:szCs w:val="24"/>
        </w:rPr>
        <w:t xml:space="preserve"> </w:t>
      </w:r>
      <w:r w:rsidR="00F938BA">
        <w:rPr>
          <w:sz w:val="24"/>
          <w:szCs w:val="24"/>
        </w:rPr>
        <w:t>During a community survey in Bihar, India</w:t>
      </w:r>
      <w:r w:rsidR="00D91605">
        <w:rPr>
          <w:sz w:val="24"/>
          <w:szCs w:val="24"/>
        </w:rPr>
        <w:t>,</w:t>
      </w:r>
      <w:r w:rsidR="00F938BA">
        <w:rPr>
          <w:sz w:val="24"/>
          <w:szCs w:val="24"/>
        </w:rPr>
        <w:t xml:space="preserve"> in 2009, </w:t>
      </w:r>
      <w:r w:rsidR="00557D4A">
        <w:rPr>
          <w:sz w:val="24"/>
          <w:szCs w:val="24"/>
        </w:rPr>
        <w:t>PV</w:t>
      </w:r>
      <w:r w:rsidR="00D91605">
        <w:rPr>
          <w:sz w:val="24"/>
          <w:szCs w:val="24"/>
        </w:rPr>
        <w:t>-</w:t>
      </w:r>
      <w:r w:rsidR="00557D4A">
        <w:rPr>
          <w:sz w:val="24"/>
          <w:szCs w:val="24"/>
        </w:rPr>
        <w:t xml:space="preserve">positive </w:t>
      </w:r>
      <w:r w:rsidR="0091237A">
        <w:rPr>
          <w:sz w:val="24"/>
          <w:szCs w:val="24"/>
        </w:rPr>
        <w:t xml:space="preserve">rates for </w:t>
      </w:r>
      <w:r w:rsidR="001077F4" w:rsidRPr="00DD0903">
        <w:rPr>
          <w:sz w:val="24"/>
          <w:szCs w:val="24"/>
        </w:rPr>
        <w:t xml:space="preserve">respiratory </w:t>
      </w:r>
      <w:r w:rsidR="00557D4A">
        <w:rPr>
          <w:sz w:val="24"/>
          <w:szCs w:val="24"/>
        </w:rPr>
        <w:t>samples</w:t>
      </w:r>
      <w:r w:rsidR="00620473">
        <w:rPr>
          <w:sz w:val="24"/>
          <w:szCs w:val="24"/>
        </w:rPr>
        <w:t xml:space="preserve"> </w:t>
      </w:r>
      <w:r w:rsidR="00E62DBC">
        <w:rPr>
          <w:sz w:val="24"/>
          <w:szCs w:val="24"/>
        </w:rPr>
        <w:t xml:space="preserve">were </w:t>
      </w:r>
      <w:r w:rsidR="00620473">
        <w:rPr>
          <w:sz w:val="24"/>
          <w:szCs w:val="24"/>
        </w:rPr>
        <w:t>0.1%</w:t>
      </w:r>
      <w:r w:rsidR="00E62DBC">
        <w:rPr>
          <w:sz w:val="24"/>
          <w:szCs w:val="24"/>
        </w:rPr>
        <w:t>,</w:t>
      </w:r>
      <w:r w:rsidR="00557D4A">
        <w:rPr>
          <w:sz w:val="24"/>
          <w:szCs w:val="24"/>
        </w:rPr>
        <w:t xml:space="preserve"> 20</w:t>
      </w:r>
      <w:r w:rsidR="00D91605">
        <w:rPr>
          <w:sz w:val="24"/>
          <w:szCs w:val="24"/>
        </w:rPr>
        <w:t>-</w:t>
      </w:r>
      <w:r w:rsidR="00557D4A">
        <w:rPr>
          <w:sz w:val="24"/>
          <w:szCs w:val="24"/>
        </w:rPr>
        <w:t xml:space="preserve">fold less than </w:t>
      </w:r>
      <w:r w:rsidR="0091237A">
        <w:rPr>
          <w:sz w:val="24"/>
          <w:szCs w:val="24"/>
        </w:rPr>
        <w:t xml:space="preserve">for </w:t>
      </w:r>
      <w:r w:rsidR="00557D4A">
        <w:rPr>
          <w:sz w:val="24"/>
          <w:szCs w:val="24"/>
        </w:rPr>
        <w:t>stool samples</w:t>
      </w:r>
      <w:r w:rsidR="0091237A">
        <w:rPr>
          <w:sz w:val="24"/>
          <w:szCs w:val="24"/>
        </w:rPr>
        <w:t xml:space="preserve"> (2.</w:t>
      </w:r>
      <w:r w:rsidR="00620473">
        <w:rPr>
          <w:sz w:val="24"/>
          <w:szCs w:val="24"/>
        </w:rPr>
        <w:t>5</w:t>
      </w:r>
      <w:r w:rsidR="0091237A">
        <w:rPr>
          <w:sz w:val="24"/>
          <w:szCs w:val="24"/>
        </w:rPr>
        <w:t>%)</w:t>
      </w:r>
      <w:r w:rsidR="00557D4A">
        <w:rPr>
          <w:sz w:val="24"/>
          <w:szCs w:val="24"/>
        </w:rPr>
        <w:t>.</w:t>
      </w:r>
      <w:r w:rsidRPr="008846F9">
        <w:rPr>
          <w:sz w:val="24"/>
          <w:szCs w:val="24"/>
        </w:rPr>
        <w:t xml:space="preserve">  </w:t>
      </w:r>
    </w:p>
    <w:p w:rsidR="00F56FD7" w:rsidRDefault="00AD0DC8" w:rsidP="002D716D">
      <w:pPr>
        <w:spacing w:before="240"/>
        <w:ind w:left="720"/>
        <w:rPr>
          <w:sz w:val="24"/>
          <w:szCs w:val="24"/>
        </w:rPr>
      </w:pPr>
      <w:r w:rsidRPr="001E1DEF">
        <w:rPr>
          <w:b/>
          <w:sz w:val="24"/>
          <w:szCs w:val="24"/>
        </w:rPr>
        <w:t>Sewage:</w:t>
      </w:r>
      <w:r w:rsidRPr="008846F9">
        <w:rPr>
          <w:b/>
          <w:sz w:val="24"/>
          <w:szCs w:val="24"/>
        </w:rPr>
        <w:t xml:space="preserve"> </w:t>
      </w:r>
      <w:r w:rsidRPr="008846F9">
        <w:rPr>
          <w:sz w:val="24"/>
          <w:szCs w:val="24"/>
        </w:rPr>
        <w:t xml:space="preserve">Poliovirus recovery from </w:t>
      </w:r>
      <w:r w:rsidR="00DB2C4F">
        <w:rPr>
          <w:sz w:val="24"/>
          <w:szCs w:val="24"/>
        </w:rPr>
        <w:t xml:space="preserve">raw </w:t>
      </w:r>
      <w:r w:rsidRPr="008846F9">
        <w:rPr>
          <w:sz w:val="24"/>
          <w:szCs w:val="24"/>
        </w:rPr>
        <w:t>sewage usually involves some form of entrapment or sample concentration. Recovery of WPV or OPV</w:t>
      </w:r>
      <w:r w:rsidR="008D052B">
        <w:rPr>
          <w:sz w:val="24"/>
          <w:szCs w:val="24"/>
        </w:rPr>
        <w:t>/Sabin</w:t>
      </w:r>
      <w:r w:rsidRPr="008846F9">
        <w:rPr>
          <w:sz w:val="24"/>
          <w:szCs w:val="24"/>
        </w:rPr>
        <w:t xml:space="preserve"> has been reported from raw samples, but </w:t>
      </w:r>
      <w:r w:rsidR="009574EF">
        <w:rPr>
          <w:sz w:val="24"/>
          <w:szCs w:val="24"/>
        </w:rPr>
        <w:t xml:space="preserve">the concentration of </w:t>
      </w:r>
      <w:r w:rsidR="00DB2C4F">
        <w:rPr>
          <w:sz w:val="24"/>
          <w:szCs w:val="24"/>
        </w:rPr>
        <w:t xml:space="preserve">infectious </w:t>
      </w:r>
      <w:r w:rsidR="004B1C81">
        <w:rPr>
          <w:sz w:val="24"/>
          <w:szCs w:val="24"/>
        </w:rPr>
        <w:t xml:space="preserve">virus is </w:t>
      </w:r>
      <w:r w:rsidR="009574EF" w:rsidRPr="008846F9">
        <w:rPr>
          <w:sz w:val="24"/>
          <w:szCs w:val="24"/>
        </w:rPr>
        <w:t xml:space="preserve">usually </w:t>
      </w:r>
      <w:r w:rsidRPr="008846F9">
        <w:rPr>
          <w:sz w:val="24"/>
          <w:szCs w:val="24"/>
        </w:rPr>
        <w:t>&lt;1 CCID</w:t>
      </w:r>
      <w:r w:rsidRPr="008846F9">
        <w:rPr>
          <w:sz w:val="24"/>
          <w:szCs w:val="24"/>
          <w:vertAlign w:val="subscript"/>
        </w:rPr>
        <w:t>50</w:t>
      </w:r>
      <w:r w:rsidRPr="008846F9">
        <w:rPr>
          <w:sz w:val="24"/>
          <w:szCs w:val="24"/>
        </w:rPr>
        <w:t xml:space="preserve">/ml, well below the estimated infectious dose for either OPV strains or WPV. </w:t>
      </w:r>
      <w:r w:rsidR="004B1C81">
        <w:rPr>
          <w:sz w:val="24"/>
          <w:szCs w:val="24"/>
        </w:rPr>
        <w:t>The PV content of sewage concentrates may be several logs higher, depending on the method employed</w:t>
      </w:r>
      <w:r w:rsidR="009574EF">
        <w:rPr>
          <w:sz w:val="24"/>
          <w:szCs w:val="24"/>
        </w:rPr>
        <w:t>.</w:t>
      </w:r>
      <w:r w:rsidR="004B1C81">
        <w:rPr>
          <w:sz w:val="24"/>
          <w:szCs w:val="24"/>
        </w:rPr>
        <w:t xml:space="preserve"> </w:t>
      </w:r>
      <w:r w:rsidRPr="008846F9">
        <w:rPr>
          <w:sz w:val="24"/>
          <w:szCs w:val="24"/>
        </w:rPr>
        <w:t xml:space="preserve"> </w:t>
      </w:r>
    </w:p>
    <w:p w:rsidR="00AD0DC8" w:rsidRPr="009A7F2E" w:rsidRDefault="00F56FD7" w:rsidP="002D716D">
      <w:pPr>
        <w:spacing w:before="240"/>
        <w:ind w:left="720"/>
        <w:rPr>
          <w:b/>
          <w:sz w:val="24"/>
          <w:szCs w:val="24"/>
        </w:rPr>
      </w:pPr>
      <w:r>
        <w:rPr>
          <w:b/>
          <w:sz w:val="24"/>
          <w:szCs w:val="24"/>
        </w:rPr>
        <w:t>Cerebr</w:t>
      </w:r>
      <w:r w:rsidR="00193B06">
        <w:rPr>
          <w:b/>
          <w:sz w:val="24"/>
          <w:szCs w:val="24"/>
        </w:rPr>
        <w:t>o</w:t>
      </w:r>
      <w:r>
        <w:rPr>
          <w:b/>
          <w:sz w:val="24"/>
          <w:szCs w:val="24"/>
        </w:rPr>
        <w:t xml:space="preserve">spinal fluid (CSF), serum, and blood: </w:t>
      </w:r>
      <w:r w:rsidR="00193B06" w:rsidRPr="002D716D">
        <w:rPr>
          <w:sz w:val="24"/>
          <w:szCs w:val="24"/>
        </w:rPr>
        <w:t xml:space="preserve">Poliovirus is rarely recovered from </w:t>
      </w:r>
      <w:r w:rsidR="00D91605">
        <w:rPr>
          <w:sz w:val="24"/>
          <w:szCs w:val="24"/>
        </w:rPr>
        <w:t>CSF</w:t>
      </w:r>
      <w:r w:rsidR="00193B06" w:rsidRPr="002D716D">
        <w:rPr>
          <w:sz w:val="24"/>
          <w:szCs w:val="24"/>
        </w:rPr>
        <w:t>. Blood samples yield WPV in &lt;25% of infected persons</w:t>
      </w:r>
      <w:r w:rsidR="009A7F2E" w:rsidRPr="002D716D">
        <w:rPr>
          <w:sz w:val="24"/>
          <w:szCs w:val="24"/>
        </w:rPr>
        <w:t xml:space="preserve"> with levels usually low (&lt;50 CCID</w:t>
      </w:r>
      <w:r w:rsidR="009A7F2E" w:rsidRPr="002D716D">
        <w:rPr>
          <w:sz w:val="24"/>
          <w:szCs w:val="24"/>
          <w:vertAlign w:val="subscript"/>
        </w:rPr>
        <w:t>50</w:t>
      </w:r>
      <w:r w:rsidR="009A7F2E" w:rsidRPr="002D716D">
        <w:rPr>
          <w:sz w:val="24"/>
          <w:szCs w:val="24"/>
        </w:rPr>
        <w:t>/ml</w:t>
      </w:r>
      <w:r w:rsidR="009A7F2E">
        <w:rPr>
          <w:sz w:val="24"/>
          <w:szCs w:val="24"/>
        </w:rPr>
        <w:t xml:space="preserve">). A similar </w:t>
      </w:r>
      <w:r w:rsidR="00B21366">
        <w:rPr>
          <w:sz w:val="24"/>
          <w:szCs w:val="24"/>
        </w:rPr>
        <w:t>low</w:t>
      </w:r>
      <w:r w:rsidR="00737FB8">
        <w:rPr>
          <w:sz w:val="24"/>
          <w:szCs w:val="24"/>
        </w:rPr>
        <w:t>-</w:t>
      </w:r>
      <w:r w:rsidR="00B21366">
        <w:rPr>
          <w:sz w:val="24"/>
          <w:szCs w:val="24"/>
        </w:rPr>
        <w:t xml:space="preserve">level viremia pattern </w:t>
      </w:r>
      <w:r w:rsidR="00E62DBC">
        <w:rPr>
          <w:sz w:val="24"/>
          <w:szCs w:val="24"/>
        </w:rPr>
        <w:t xml:space="preserve">in OPV recipients </w:t>
      </w:r>
      <w:r w:rsidR="00B21366">
        <w:rPr>
          <w:sz w:val="24"/>
          <w:szCs w:val="24"/>
        </w:rPr>
        <w:t xml:space="preserve">has been observed for Sabin type 2, but </w:t>
      </w:r>
      <w:r w:rsidR="00E62DBC">
        <w:rPr>
          <w:sz w:val="24"/>
          <w:szCs w:val="24"/>
        </w:rPr>
        <w:t>no</w:t>
      </w:r>
      <w:r w:rsidR="007847BE">
        <w:rPr>
          <w:sz w:val="24"/>
          <w:szCs w:val="24"/>
        </w:rPr>
        <w:t xml:space="preserve"> viremia</w:t>
      </w:r>
      <w:r w:rsidR="00E62DBC">
        <w:rPr>
          <w:sz w:val="24"/>
          <w:szCs w:val="24"/>
        </w:rPr>
        <w:t xml:space="preserve"> has been </w:t>
      </w:r>
      <w:proofErr w:type="gramStart"/>
      <w:r w:rsidR="00E62DBC">
        <w:rPr>
          <w:sz w:val="24"/>
          <w:szCs w:val="24"/>
        </w:rPr>
        <w:t xml:space="preserve">reported </w:t>
      </w:r>
      <w:r w:rsidR="00B21366">
        <w:rPr>
          <w:sz w:val="24"/>
          <w:szCs w:val="24"/>
        </w:rPr>
        <w:t xml:space="preserve"> for</w:t>
      </w:r>
      <w:proofErr w:type="gramEnd"/>
      <w:r w:rsidR="00B21366">
        <w:rPr>
          <w:sz w:val="24"/>
          <w:szCs w:val="24"/>
        </w:rPr>
        <w:t xml:space="preserve"> </w:t>
      </w:r>
      <w:r w:rsidR="007847BE">
        <w:rPr>
          <w:sz w:val="24"/>
          <w:szCs w:val="24"/>
        </w:rPr>
        <w:t xml:space="preserve">Sabin </w:t>
      </w:r>
      <w:r w:rsidR="00B21366">
        <w:rPr>
          <w:sz w:val="24"/>
          <w:szCs w:val="24"/>
        </w:rPr>
        <w:t xml:space="preserve">types 1 and 3. </w:t>
      </w:r>
      <w:r w:rsidR="00253B57">
        <w:rPr>
          <w:sz w:val="24"/>
          <w:szCs w:val="24"/>
        </w:rPr>
        <w:t>Consequently, c</w:t>
      </w:r>
      <w:r w:rsidR="00B21366">
        <w:rPr>
          <w:sz w:val="24"/>
          <w:szCs w:val="24"/>
        </w:rPr>
        <w:t xml:space="preserve">ollections of </w:t>
      </w:r>
      <w:r w:rsidR="00640CE1">
        <w:rPr>
          <w:sz w:val="24"/>
          <w:szCs w:val="24"/>
        </w:rPr>
        <w:t>CSF</w:t>
      </w:r>
      <w:r w:rsidR="00B21366">
        <w:rPr>
          <w:sz w:val="24"/>
          <w:szCs w:val="24"/>
        </w:rPr>
        <w:t xml:space="preserve"> and blood samples are not considered </w:t>
      </w:r>
      <w:r w:rsidR="00253B57">
        <w:rPr>
          <w:sz w:val="24"/>
          <w:szCs w:val="24"/>
        </w:rPr>
        <w:t>PIM</w:t>
      </w:r>
      <w:r w:rsidR="00B21366">
        <w:rPr>
          <w:sz w:val="24"/>
          <w:szCs w:val="24"/>
        </w:rPr>
        <w:t xml:space="preserve">. </w:t>
      </w:r>
    </w:p>
    <w:p w:rsidR="00217BF9" w:rsidRPr="003E6D2C" w:rsidRDefault="003E6D2C" w:rsidP="003E6D2C">
      <w:pPr>
        <w:pStyle w:val="Heading3"/>
        <w:numPr>
          <w:ilvl w:val="0"/>
          <w:numId w:val="30"/>
        </w:numPr>
      </w:pPr>
      <w:bookmarkStart w:id="19" w:name="_Toc492292900"/>
      <w:r>
        <w:t>Age of subjects</w:t>
      </w:r>
      <w:bookmarkEnd w:id="19"/>
      <w:r w:rsidR="00AD0DC8" w:rsidRPr="003E6D2C">
        <w:t xml:space="preserve"> </w:t>
      </w:r>
    </w:p>
    <w:p w:rsidR="00AD0DC8" w:rsidRDefault="00AD0DC8" w:rsidP="00A86FA6">
      <w:pPr>
        <w:spacing w:before="240"/>
        <w:ind w:left="720"/>
        <w:rPr>
          <w:b/>
          <w:sz w:val="24"/>
          <w:szCs w:val="24"/>
        </w:rPr>
      </w:pPr>
      <w:r w:rsidRPr="008846F9">
        <w:rPr>
          <w:sz w:val="24"/>
          <w:szCs w:val="24"/>
        </w:rPr>
        <w:t>Children &lt;5</w:t>
      </w:r>
      <w:r w:rsidR="001D1389">
        <w:rPr>
          <w:sz w:val="24"/>
          <w:szCs w:val="24"/>
        </w:rPr>
        <w:t xml:space="preserve"> </w:t>
      </w:r>
      <w:r w:rsidR="001D1389" w:rsidRPr="008846F9">
        <w:rPr>
          <w:sz w:val="24"/>
          <w:szCs w:val="24"/>
        </w:rPr>
        <w:t>y</w:t>
      </w:r>
      <w:r w:rsidR="001D1389">
        <w:rPr>
          <w:sz w:val="24"/>
          <w:szCs w:val="24"/>
        </w:rPr>
        <w:t>ears old</w:t>
      </w:r>
      <w:r w:rsidR="001D1389" w:rsidRPr="008846F9">
        <w:rPr>
          <w:sz w:val="24"/>
          <w:szCs w:val="24"/>
        </w:rPr>
        <w:t xml:space="preserve"> </w:t>
      </w:r>
      <w:r w:rsidRPr="008846F9">
        <w:rPr>
          <w:sz w:val="24"/>
          <w:szCs w:val="24"/>
        </w:rPr>
        <w:t xml:space="preserve">are </w:t>
      </w:r>
      <w:r w:rsidR="009574EF">
        <w:rPr>
          <w:sz w:val="24"/>
          <w:szCs w:val="24"/>
        </w:rPr>
        <w:t xml:space="preserve">the group </w:t>
      </w:r>
      <w:r w:rsidRPr="008846F9">
        <w:rPr>
          <w:sz w:val="24"/>
          <w:szCs w:val="24"/>
        </w:rPr>
        <w:t>most often infected during a WPV epidemic and are the target population for routine immunizations and multiple OPV campaigns. Children 6-15</w:t>
      </w:r>
      <w:r w:rsidR="003F2EEB">
        <w:rPr>
          <w:sz w:val="24"/>
          <w:szCs w:val="24"/>
        </w:rPr>
        <w:t xml:space="preserve"> </w:t>
      </w:r>
      <w:r w:rsidR="003F2EEB" w:rsidRPr="008846F9">
        <w:rPr>
          <w:sz w:val="24"/>
          <w:szCs w:val="24"/>
        </w:rPr>
        <w:t>y</w:t>
      </w:r>
      <w:r w:rsidR="003F2EEB">
        <w:rPr>
          <w:sz w:val="24"/>
          <w:szCs w:val="24"/>
        </w:rPr>
        <w:t>ears old</w:t>
      </w:r>
      <w:r w:rsidR="003F2EEB" w:rsidRPr="008846F9">
        <w:rPr>
          <w:sz w:val="24"/>
          <w:szCs w:val="24"/>
        </w:rPr>
        <w:t xml:space="preserve"> </w:t>
      </w:r>
      <w:r w:rsidRPr="008846F9">
        <w:rPr>
          <w:sz w:val="24"/>
          <w:szCs w:val="24"/>
        </w:rPr>
        <w:t xml:space="preserve">are rarely included in OPV campaigns, but may be infected or re-infected by WPV or OPV-derived viruses circulating in the family or community. Re-infection of </w:t>
      </w:r>
      <w:r w:rsidRPr="008846F9">
        <w:rPr>
          <w:sz w:val="24"/>
          <w:szCs w:val="24"/>
        </w:rPr>
        <w:lastRenderedPageBreak/>
        <w:t>immunologically experienced adults and older children is less likely, but appears to be a function of virus dosage. Re-</w:t>
      </w:r>
      <w:r w:rsidR="000B6EE3">
        <w:rPr>
          <w:sz w:val="24"/>
          <w:szCs w:val="24"/>
        </w:rPr>
        <w:t>i</w:t>
      </w:r>
      <w:r w:rsidRPr="008846F9">
        <w:rPr>
          <w:sz w:val="24"/>
          <w:szCs w:val="24"/>
        </w:rPr>
        <w:t xml:space="preserve">nfections of older children or adults rarely result in virus recovery from throat samples, and fecal shedding may be greatly reduced in virus content and duration.  </w:t>
      </w:r>
    </w:p>
    <w:p w:rsidR="00AD0DC8" w:rsidRPr="003E6D2C" w:rsidRDefault="002D4ABB" w:rsidP="003E6D2C">
      <w:pPr>
        <w:pStyle w:val="Heading3"/>
        <w:numPr>
          <w:ilvl w:val="0"/>
          <w:numId w:val="30"/>
        </w:numPr>
      </w:pPr>
      <w:bookmarkStart w:id="20" w:name="_Toc492292901"/>
      <w:r>
        <w:t>Laboratory h</w:t>
      </w:r>
      <w:r w:rsidR="00AD0DC8" w:rsidRPr="003E6D2C">
        <w:t>azards</w:t>
      </w:r>
      <w:bookmarkEnd w:id="20"/>
    </w:p>
    <w:p w:rsidR="004C7B82" w:rsidRPr="002D4ABB" w:rsidRDefault="004C7B82" w:rsidP="00A86FA6">
      <w:pPr>
        <w:ind w:left="720"/>
        <w:rPr>
          <w:sz w:val="24"/>
          <w:szCs w:val="24"/>
        </w:rPr>
      </w:pPr>
      <w:r w:rsidRPr="002D4ABB">
        <w:rPr>
          <w:sz w:val="24"/>
          <w:szCs w:val="24"/>
        </w:rPr>
        <w:t xml:space="preserve">Survival of PV in PIM collections </w:t>
      </w:r>
      <w:r w:rsidR="00AF75EA" w:rsidRPr="002D4ABB">
        <w:rPr>
          <w:sz w:val="24"/>
          <w:szCs w:val="24"/>
        </w:rPr>
        <w:t xml:space="preserve">under conventional storage conditions </w:t>
      </w:r>
      <w:r w:rsidRPr="002D4ABB">
        <w:rPr>
          <w:sz w:val="24"/>
          <w:szCs w:val="24"/>
        </w:rPr>
        <w:t xml:space="preserve">is indefinite under liquid nitrogen or mechanical refrigeration at -70°C. Survival may be slightly reduced at -20°C under conditions of fluctuating temperatures, but viability can be anticipated for many years. </w:t>
      </w:r>
    </w:p>
    <w:p w:rsidR="004C7B82" w:rsidRPr="002D4ABB" w:rsidRDefault="003F2EEB" w:rsidP="00602C97">
      <w:pPr>
        <w:ind w:left="720"/>
        <w:rPr>
          <w:sz w:val="24"/>
          <w:szCs w:val="24"/>
        </w:rPr>
      </w:pPr>
      <w:r w:rsidRPr="002D4ABB">
        <w:rPr>
          <w:b/>
          <w:sz w:val="24"/>
          <w:szCs w:val="24"/>
        </w:rPr>
        <w:t>Inoculating/harvesting poliovirus permissive cells:</w:t>
      </w:r>
      <w:r w:rsidRPr="002D4ABB">
        <w:rPr>
          <w:sz w:val="24"/>
          <w:szCs w:val="24"/>
        </w:rPr>
        <w:t xml:space="preserve"> </w:t>
      </w:r>
      <w:r w:rsidR="00AF75EA" w:rsidRPr="002D4ABB">
        <w:rPr>
          <w:sz w:val="24"/>
          <w:szCs w:val="24"/>
        </w:rPr>
        <w:t>A</w:t>
      </w:r>
      <w:r w:rsidRPr="002D4ABB">
        <w:rPr>
          <w:sz w:val="24"/>
          <w:szCs w:val="24"/>
        </w:rPr>
        <w:t>ttempt</w:t>
      </w:r>
      <w:r w:rsidR="00AF75EA" w:rsidRPr="002D4ABB">
        <w:rPr>
          <w:sz w:val="24"/>
          <w:szCs w:val="24"/>
        </w:rPr>
        <w:t>s</w:t>
      </w:r>
      <w:r w:rsidRPr="002D4ABB">
        <w:rPr>
          <w:sz w:val="24"/>
          <w:szCs w:val="24"/>
        </w:rPr>
        <w:t xml:space="preserve"> to isolate other infectious agents </w:t>
      </w:r>
      <w:r w:rsidR="00AF75EA" w:rsidRPr="002D4ABB">
        <w:rPr>
          <w:sz w:val="24"/>
          <w:szCs w:val="24"/>
        </w:rPr>
        <w:t xml:space="preserve">from PIM collections using </w:t>
      </w:r>
      <w:r w:rsidR="004763D1" w:rsidRPr="002D4ABB">
        <w:rPr>
          <w:sz w:val="24"/>
          <w:szCs w:val="24"/>
        </w:rPr>
        <w:t>poliovirus-</w:t>
      </w:r>
      <w:r w:rsidRPr="002D4ABB">
        <w:rPr>
          <w:sz w:val="24"/>
          <w:szCs w:val="24"/>
        </w:rPr>
        <w:t xml:space="preserve">permissive </w:t>
      </w:r>
      <w:r w:rsidR="00737FB8" w:rsidRPr="002D4ABB">
        <w:rPr>
          <w:sz w:val="24"/>
          <w:szCs w:val="24"/>
        </w:rPr>
        <w:t xml:space="preserve">cell cultures </w:t>
      </w:r>
      <w:r w:rsidRPr="002D4ABB">
        <w:rPr>
          <w:sz w:val="24"/>
          <w:szCs w:val="24"/>
        </w:rPr>
        <w:t>(</w:t>
      </w:r>
      <w:r w:rsidR="00131EA2" w:rsidRPr="002D4ABB">
        <w:rPr>
          <w:sz w:val="24"/>
          <w:szCs w:val="24"/>
        </w:rPr>
        <w:t xml:space="preserve">Annex </w:t>
      </w:r>
      <w:r w:rsidR="005E71F7" w:rsidRPr="002D4ABB">
        <w:rPr>
          <w:sz w:val="24"/>
          <w:szCs w:val="24"/>
        </w:rPr>
        <w:t>2</w:t>
      </w:r>
      <w:r w:rsidRPr="002D4ABB">
        <w:rPr>
          <w:sz w:val="24"/>
          <w:szCs w:val="24"/>
        </w:rPr>
        <w:t xml:space="preserve">) may result in an enhanced </w:t>
      </w:r>
      <w:r w:rsidR="00AF75EA" w:rsidRPr="002D4ABB">
        <w:rPr>
          <w:sz w:val="24"/>
          <w:szCs w:val="24"/>
        </w:rPr>
        <w:t xml:space="preserve">PV </w:t>
      </w:r>
      <w:r w:rsidRPr="002D4ABB">
        <w:rPr>
          <w:sz w:val="24"/>
          <w:szCs w:val="24"/>
        </w:rPr>
        <w:t xml:space="preserve">content of </w:t>
      </w:r>
      <w:r w:rsidR="00C61CCB" w:rsidRPr="002D4ABB">
        <w:rPr>
          <w:sz w:val="24"/>
          <w:szCs w:val="24"/>
        </w:rPr>
        <w:t xml:space="preserve">up to </w:t>
      </w:r>
      <w:r w:rsidRPr="002D4ABB">
        <w:rPr>
          <w:sz w:val="24"/>
          <w:szCs w:val="24"/>
        </w:rPr>
        <w:t>10</w:t>
      </w:r>
      <w:r w:rsidRPr="002D4ABB">
        <w:rPr>
          <w:sz w:val="24"/>
          <w:szCs w:val="24"/>
          <w:vertAlign w:val="superscript"/>
        </w:rPr>
        <w:t>8</w:t>
      </w:r>
      <w:r w:rsidR="00C61CCB" w:rsidRPr="002D4ABB">
        <w:rPr>
          <w:sz w:val="24"/>
          <w:szCs w:val="24"/>
        </w:rPr>
        <w:t xml:space="preserve"> </w:t>
      </w:r>
      <w:r w:rsidRPr="002D4ABB">
        <w:rPr>
          <w:sz w:val="24"/>
          <w:szCs w:val="24"/>
        </w:rPr>
        <w:t>CCID</w:t>
      </w:r>
      <w:r w:rsidRPr="002D4ABB">
        <w:rPr>
          <w:sz w:val="24"/>
          <w:szCs w:val="24"/>
          <w:vertAlign w:val="subscript"/>
        </w:rPr>
        <w:t xml:space="preserve">50 </w:t>
      </w:r>
      <w:r w:rsidRPr="002D4ABB">
        <w:rPr>
          <w:sz w:val="24"/>
          <w:szCs w:val="24"/>
        </w:rPr>
        <w:t>/ml. This possibly &gt;10</w:t>
      </w:r>
      <w:r w:rsidR="00DB2C4F" w:rsidRPr="002D4ABB">
        <w:rPr>
          <w:sz w:val="24"/>
          <w:szCs w:val="24"/>
          <w:vertAlign w:val="superscript"/>
        </w:rPr>
        <w:t>5</w:t>
      </w:r>
      <w:r w:rsidRPr="002D4ABB">
        <w:rPr>
          <w:sz w:val="24"/>
          <w:szCs w:val="24"/>
        </w:rPr>
        <w:t xml:space="preserve"> increase in virus concentration over the original clinical sample greatly increases the risk to the laboratory worker, particularly if the identity of the enhanced </w:t>
      </w:r>
      <w:r w:rsidR="00732F88" w:rsidRPr="002D4ABB">
        <w:rPr>
          <w:sz w:val="24"/>
          <w:szCs w:val="24"/>
        </w:rPr>
        <w:t>incidental PV</w:t>
      </w:r>
      <w:r w:rsidRPr="002D4ABB">
        <w:rPr>
          <w:sz w:val="24"/>
          <w:szCs w:val="24"/>
        </w:rPr>
        <w:t xml:space="preserve"> remains unrecognized. </w:t>
      </w:r>
    </w:p>
    <w:p w:rsidR="003F2EEB" w:rsidRPr="002D4ABB" w:rsidRDefault="00961055" w:rsidP="00A86FA6">
      <w:pPr>
        <w:spacing w:before="240" w:after="0"/>
        <w:ind w:left="720"/>
        <w:rPr>
          <w:sz w:val="24"/>
          <w:szCs w:val="24"/>
        </w:rPr>
      </w:pPr>
      <w:r w:rsidRPr="002D4ABB">
        <w:rPr>
          <w:sz w:val="24"/>
          <w:szCs w:val="24"/>
        </w:rPr>
        <w:t>Full-length poliovirus RNA can infect permissive cell lines, which can be facilitated by using transfection reagents. Unknown to the laboratory worker, the extraction of nucleic acid from PIM could coincidentally co</w:t>
      </w:r>
      <w:r w:rsidR="005A6903" w:rsidRPr="002D4ABB">
        <w:rPr>
          <w:sz w:val="24"/>
          <w:szCs w:val="24"/>
        </w:rPr>
        <w:t>-</w:t>
      </w:r>
      <w:r w:rsidRPr="002D4ABB">
        <w:rPr>
          <w:sz w:val="24"/>
          <w:szCs w:val="24"/>
        </w:rPr>
        <w:t>purify poliovirus RNA from an incidental poliovirus in the sample. The subsequent transfection of the nucleic acid in poliovirus permissive cell lines may generate infectious poliovirus particles</w:t>
      </w:r>
      <w:r w:rsidR="007847BE" w:rsidRPr="002D4ABB">
        <w:rPr>
          <w:sz w:val="24"/>
          <w:szCs w:val="24"/>
        </w:rPr>
        <w:t>, possibly at high titers</w:t>
      </w:r>
      <w:r w:rsidRPr="002D4ABB">
        <w:rPr>
          <w:sz w:val="24"/>
          <w:szCs w:val="24"/>
        </w:rPr>
        <w:t>.</w:t>
      </w:r>
    </w:p>
    <w:p w:rsidR="00AD0DC8" w:rsidRPr="002D4ABB" w:rsidRDefault="003F2EEB" w:rsidP="002D4ABB">
      <w:pPr>
        <w:spacing w:before="240"/>
        <w:ind w:left="720"/>
        <w:rPr>
          <w:sz w:val="24"/>
          <w:szCs w:val="24"/>
        </w:rPr>
      </w:pPr>
      <w:r w:rsidRPr="002D4ABB">
        <w:rPr>
          <w:b/>
          <w:sz w:val="24"/>
          <w:szCs w:val="24"/>
        </w:rPr>
        <w:t>Aerosol-</w:t>
      </w:r>
      <w:r w:rsidR="00AD0DC8" w:rsidRPr="002D4ABB">
        <w:rPr>
          <w:b/>
          <w:sz w:val="24"/>
          <w:szCs w:val="24"/>
        </w:rPr>
        <w:t>generating laboratory procedures:</w:t>
      </w:r>
      <w:r w:rsidR="00AD0DC8" w:rsidRPr="002D4ABB">
        <w:rPr>
          <w:sz w:val="24"/>
          <w:szCs w:val="24"/>
        </w:rPr>
        <w:t xml:space="preserve"> </w:t>
      </w:r>
      <w:r w:rsidR="00AD0DC8" w:rsidRPr="008846F9">
        <w:rPr>
          <w:sz w:val="24"/>
          <w:szCs w:val="24"/>
        </w:rPr>
        <w:t>Procedures</w:t>
      </w:r>
      <w:r w:rsidR="00AD0DC8" w:rsidRPr="002D4ABB">
        <w:rPr>
          <w:sz w:val="24"/>
          <w:szCs w:val="24"/>
        </w:rPr>
        <w:t xml:space="preserve"> </w:t>
      </w:r>
      <w:r w:rsidR="00AD0DC8" w:rsidRPr="008846F9">
        <w:rPr>
          <w:sz w:val="24"/>
          <w:szCs w:val="24"/>
        </w:rPr>
        <w:t>that may create aerosols through the release of liquids under pressure (sprays), dropping or breaking containers, mixing of suspensions, mechanical blending, shaking</w:t>
      </w:r>
      <w:r w:rsidR="004763D1">
        <w:rPr>
          <w:sz w:val="24"/>
          <w:szCs w:val="24"/>
        </w:rPr>
        <w:t>,</w:t>
      </w:r>
      <w:r w:rsidR="00AD0DC8" w:rsidRPr="008846F9">
        <w:rPr>
          <w:sz w:val="24"/>
          <w:szCs w:val="24"/>
        </w:rPr>
        <w:t xml:space="preserve"> or pouring constitute a high risk. </w:t>
      </w:r>
      <w:r w:rsidR="00F02BFC" w:rsidRPr="0065030F">
        <w:rPr>
          <w:sz w:val="24"/>
          <w:szCs w:val="24"/>
        </w:rPr>
        <w:t xml:space="preserve">The survival of poliovirus </w:t>
      </w:r>
      <w:r w:rsidR="00F02BFC">
        <w:rPr>
          <w:sz w:val="24"/>
          <w:szCs w:val="24"/>
        </w:rPr>
        <w:t xml:space="preserve">in the laboratory environment </w:t>
      </w:r>
      <w:r w:rsidR="00F02BFC" w:rsidRPr="0065030F">
        <w:rPr>
          <w:sz w:val="24"/>
          <w:szCs w:val="24"/>
        </w:rPr>
        <w:t>is favored by higher initial titer, lower temperature</w:t>
      </w:r>
      <w:r w:rsidR="00F02BFC">
        <w:rPr>
          <w:sz w:val="24"/>
          <w:szCs w:val="24"/>
        </w:rPr>
        <w:t>s</w:t>
      </w:r>
      <w:r w:rsidR="00F02BFC" w:rsidRPr="0065030F">
        <w:rPr>
          <w:sz w:val="24"/>
          <w:szCs w:val="24"/>
        </w:rPr>
        <w:t>, a moist environment and the presence of stabilizing material such as organic matter</w:t>
      </w:r>
      <w:r w:rsidR="00F02BFC">
        <w:rPr>
          <w:sz w:val="24"/>
          <w:szCs w:val="24"/>
        </w:rPr>
        <w:t xml:space="preserve">. </w:t>
      </w:r>
      <w:r w:rsidR="00AD0DC8" w:rsidRPr="008846F9">
        <w:rPr>
          <w:sz w:val="24"/>
          <w:szCs w:val="24"/>
        </w:rPr>
        <w:t xml:space="preserve">The laboratory worker may be infected directly through ingestion of droplets or indirectly through contaminated work surfaces or clothing. </w:t>
      </w:r>
      <w:r w:rsidR="004763D1" w:rsidRPr="008846F9">
        <w:rPr>
          <w:sz w:val="24"/>
          <w:szCs w:val="24"/>
        </w:rPr>
        <w:t>High</w:t>
      </w:r>
      <w:r w:rsidR="004763D1">
        <w:rPr>
          <w:sz w:val="24"/>
          <w:szCs w:val="24"/>
        </w:rPr>
        <w:t>-</w:t>
      </w:r>
      <w:r w:rsidR="00AD0DC8" w:rsidRPr="008846F9">
        <w:rPr>
          <w:sz w:val="24"/>
          <w:szCs w:val="24"/>
        </w:rPr>
        <w:t xml:space="preserve">content poliovirus materials represent the highest risk. </w:t>
      </w:r>
    </w:p>
    <w:p w:rsidR="00217BF9" w:rsidRPr="002D4ABB" w:rsidRDefault="002D4ABB" w:rsidP="002D4ABB">
      <w:pPr>
        <w:pStyle w:val="Heading3"/>
        <w:numPr>
          <w:ilvl w:val="0"/>
          <w:numId w:val="30"/>
        </w:numPr>
      </w:pPr>
      <w:bookmarkStart w:id="21" w:name="_Toc492292902"/>
      <w:r>
        <w:t>Facility effluent potential</w:t>
      </w:r>
      <w:bookmarkEnd w:id="21"/>
    </w:p>
    <w:p w:rsidR="00AD0DC8" w:rsidRPr="004C6020" w:rsidRDefault="00AD0DC8" w:rsidP="002D4ABB">
      <w:pPr>
        <w:spacing w:before="240"/>
        <w:ind w:left="720"/>
        <w:rPr>
          <w:sz w:val="28"/>
          <w:szCs w:val="24"/>
        </w:rPr>
      </w:pPr>
      <w:r w:rsidRPr="008846F9">
        <w:rPr>
          <w:sz w:val="24"/>
          <w:szCs w:val="24"/>
        </w:rPr>
        <w:t>The risk of community exposure through liquid effluents require</w:t>
      </w:r>
      <w:r w:rsidR="007847BE">
        <w:rPr>
          <w:sz w:val="24"/>
          <w:szCs w:val="24"/>
        </w:rPr>
        <w:t>s</w:t>
      </w:r>
      <w:r w:rsidRPr="008846F9">
        <w:rPr>
          <w:sz w:val="24"/>
          <w:szCs w:val="24"/>
        </w:rPr>
        <w:t xml:space="preserve"> a facility-by-facility assessment and will depend on potential poliovirus content, nature of sewerage system, and potential for human consumption. However, if the non-poliovirus laboratory works with</w:t>
      </w:r>
      <w:r>
        <w:t xml:space="preserve"> </w:t>
      </w:r>
      <w:r w:rsidRPr="00645555">
        <w:rPr>
          <w:sz w:val="24"/>
        </w:rPr>
        <w:t xml:space="preserve">only </w:t>
      </w:r>
      <w:r w:rsidR="002D5B4F">
        <w:rPr>
          <w:sz w:val="24"/>
        </w:rPr>
        <w:t>PIM</w:t>
      </w:r>
      <w:r w:rsidRPr="00645555">
        <w:rPr>
          <w:sz w:val="24"/>
        </w:rPr>
        <w:t xml:space="preserve"> without further replication of </w:t>
      </w:r>
      <w:r w:rsidR="004763D1">
        <w:rPr>
          <w:sz w:val="24"/>
        </w:rPr>
        <w:t xml:space="preserve">incidental </w:t>
      </w:r>
      <w:r w:rsidRPr="00645555">
        <w:rPr>
          <w:sz w:val="24"/>
        </w:rPr>
        <w:t>poliovirus</w:t>
      </w:r>
      <w:r w:rsidR="004763D1">
        <w:rPr>
          <w:sz w:val="24"/>
        </w:rPr>
        <w:t>es</w:t>
      </w:r>
      <w:r w:rsidRPr="00645555">
        <w:rPr>
          <w:sz w:val="24"/>
        </w:rPr>
        <w:t xml:space="preserve"> and adheres to good laboratory practices</w:t>
      </w:r>
      <w:r w:rsidR="004763D1">
        <w:rPr>
          <w:sz w:val="24"/>
        </w:rPr>
        <w:t>,</w:t>
      </w:r>
      <w:r w:rsidRPr="00645555">
        <w:rPr>
          <w:sz w:val="24"/>
        </w:rPr>
        <w:t xml:space="preserve"> the community risk is very low. </w:t>
      </w:r>
    </w:p>
    <w:p w:rsidR="00AD0DC8" w:rsidRPr="004C6020" w:rsidRDefault="00AD0DC8" w:rsidP="002D4ABB">
      <w:pPr>
        <w:pStyle w:val="Heading3"/>
        <w:numPr>
          <w:ilvl w:val="0"/>
          <w:numId w:val="30"/>
        </w:numPr>
      </w:pPr>
      <w:bookmarkStart w:id="22" w:name="_Toc492292903"/>
      <w:r w:rsidRPr="004C6020">
        <w:t>Worker/community susceptibility</w:t>
      </w:r>
      <w:bookmarkEnd w:id="22"/>
    </w:p>
    <w:p w:rsidR="00AD0DC8" w:rsidRPr="00B858D9" w:rsidRDefault="00AD0DC8" w:rsidP="00602C97">
      <w:pPr>
        <w:tabs>
          <w:tab w:val="num" w:pos="720"/>
        </w:tabs>
        <w:spacing w:before="240"/>
        <w:ind w:left="720"/>
        <w:rPr>
          <w:sz w:val="24"/>
          <w:szCs w:val="24"/>
        </w:rPr>
      </w:pPr>
      <w:r w:rsidRPr="00B858D9">
        <w:rPr>
          <w:b/>
          <w:sz w:val="24"/>
          <w:szCs w:val="24"/>
        </w:rPr>
        <w:t xml:space="preserve">The </w:t>
      </w:r>
      <w:r w:rsidR="00E966F5">
        <w:rPr>
          <w:b/>
          <w:sz w:val="24"/>
          <w:szCs w:val="24"/>
        </w:rPr>
        <w:t>facility/</w:t>
      </w:r>
      <w:r w:rsidRPr="00B858D9">
        <w:rPr>
          <w:b/>
          <w:sz w:val="24"/>
          <w:szCs w:val="24"/>
        </w:rPr>
        <w:t xml:space="preserve">laboratory worker: </w:t>
      </w:r>
      <w:r w:rsidRPr="00B858D9">
        <w:rPr>
          <w:sz w:val="24"/>
          <w:szCs w:val="24"/>
        </w:rPr>
        <w:t>For OPV recipients, reinfection of the gut is a function of time since OPV or natural infection and the challenge virus dosage. IPV provides solid pharyngeal protection but little or no immunity to gut infection. IPV recipients are not at risk of paralytic poliomyelitis, but could be at risk of transmitting WPV or OPV/OPV-derived viruses to the</w:t>
      </w:r>
      <w:r w:rsidR="00E966F5">
        <w:rPr>
          <w:sz w:val="24"/>
          <w:szCs w:val="24"/>
        </w:rPr>
        <w:t>ir</w:t>
      </w:r>
      <w:r w:rsidRPr="00B858D9">
        <w:rPr>
          <w:sz w:val="24"/>
          <w:szCs w:val="24"/>
        </w:rPr>
        <w:t xml:space="preserve"> family and community through </w:t>
      </w:r>
      <w:r w:rsidR="00E966F5" w:rsidRPr="00B858D9">
        <w:rPr>
          <w:sz w:val="24"/>
          <w:szCs w:val="24"/>
        </w:rPr>
        <w:t>poliovirus</w:t>
      </w:r>
      <w:r w:rsidR="00E966F5">
        <w:rPr>
          <w:sz w:val="24"/>
          <w:szCs w:val="24"/>
        </w:rPr>
        <w:t>-</w:t>
      </w:r>
      <w:r w:rsidRPr="00B858D9">
        <w:rPr>
          <w:sz w:val="24"/>
          <w:szCs w:val="24"/>
        </w:rPr>
        <w:t xml:space="preserve">contaminated skin or clothing, </w:t>
      </w:r>
      <w:r w:rsidRPr="00B858D9">
        <w:rPr>
          <w:sz w:val="24"/>
          <w:szCs w:val="24"/>
        </w:rPr>
        <w:lastRenderedPageBreak/>
        <w:t>silent infections of the gut, or work practices that may contribute to contamination of fac</w:t>
      </w:r>
      <w:r w:rsidR="000B6EE3">
        <w:rPr>
          <w:sz w:val="24"/>
          <w:szCs w:val="24"/>
        </w:rPr>
        <w:t>ility effluents</w:t>
      </w:r>
      <w:r w:rsidRPr="00B858D9">
        <w:rPr>
          <w:b/>
          <w:sz w:val="24"/>
          <w:szCs w:val="24"/>
        </w:rPr>
        <w:t>.</w:t>
      </w:r>
      <w:r w:rsidRPr="00B858D9">
        <w:rPr>
          <w:sz w:val="24"/>
          <w:szCs w:val="24"/>
        </w:rPr>
        <w:t xml:space="preserve"> </w:t>
      </w:r>
    </w:p>
    <w:p w:rsidR="00AD0DC8" w:rsidRPr="00B858D9" w:rsidRDefault="00AD0DC8" w:rsidP="00602C97">
      <w:pPr>
        <w:spacing w:before="240" w:after="0"/>
        <w:ind w:left="720"/>
        <w:rPr>
          <w:sz w:val="24"/>
          <w:szCs w:val="24"/>
        </w:rPr>
      </w:pPr>
      <w:r w:rsidRPr="00B858D9">
        <w:rPr>
          <w:b/>
          <w:sz w:val="24"/>
          <w:szCs w:val="24"/>
        </w:rPr>
        <w:t xml:space="preserve">Community vaccine coverage: </w:t>
      </w:r>
      <w:r w:rsidRPr="00B858D9">
        <w:rPr>
          <w:sz w:val="24"/>
          <w:szCs w:val="24"/>
        </w:rPr>
        <w:t>The risk of outbreaks from laboratory-associated transmission is</w:t>
      </w:r>
      <w:r w:rsidRPr="00B858D9">
        <w:rPr>
          <w:b/>
          <w:sz w:val="24"/>
          <w:szCs w:val="24"/>
        </w:rPr>
        <w:t xml:space="preserve"> </w:t>
      </w:r>
      <w:r w:rsidRPr="00B858D9">
        <w:rPr>
          <w:sz w:val="24"/>
          <w:szCs w:val="24"/>
        </w:rPr>
        <w:t xml:space="preserve">inversely proportional to population immunity. Risk may be assessed by percent vaccine coverage of </w:t>
      </w:r>
      <w:r w:rsidR="004763D1">
        <w:rPr>
          <w:sz w:val="24"/>
          <w:szCs w:val="24"/>
        </w:rPr>
        <w:t xml:space="preserve">persons </w:t>
      </w:r>
      <w:r w:rsidRPr="00B858D9">
        <w:rPr>
          <w:sz w:val="24"/>
          <w:szCs w:val="24"/>
        </w:rPr>
        <w:t>&lt;5</w:t>
      </w:r>
      <w:r w:rsidR="00E966F5">
        <w:rPr>
          <w:sz w:val="24"/>
          <w:szCs w:val="24"/>
        </w:rPr>
        <w:t xml:space="preserve"> </w:t>
      </w:r>
      <w:r w:rsidR="00E966F5" w:rsidRPr="00B858D9">
        <w:rPr>
          <w:sz w:val="24"/>
          <w:szCs w:val="24"/>
        </w:rPr>
        <w:t>y</w:t>
      </w:r>
      <w:r w:rsidR="00E966F5">
        <w:rPr>
          <w:sz w:val="24"/>
          <w:szCs w:val="24"/>
        </w:rPr>
        <w:t>ears old</w:t>
      </w:r>
      <w:r w:rsidRPr="00B858D9">
        <w:rPr>
          <w:sz w:val="24"/>
          <w:szCs w:val="24"/>
        </w:rPr>
        <w:t xml:space="preserve">.  </w:t>
      </w:r>
    </w:p>
    <w:p w:rsidR="00AD0DC8" w:rsidRPr="00B858D9" w:rsidRDefault="00AD0DC8" w:rsidP="00602C97">
      <w:pPr>
        <w:spacing w:before="240" w:after="0"/>
        <w:ind w:left="720"/>
        <w:rPr>
          <w:sz w:val="24"/>
          <w:szCs w:val="24"/>
        </w:rPr>
      </w:pPr>
      <w:r w:rsidRPr="00B858D9">
        <w:rPr>
          <w:b/>
          <w:sz w:val="24"/>
          <w:szCs w:val="24"/>
        </w:rPr>
        <w:t xml:space="preserve">Facility location: </w:t>
      </w:r>
      <w:r w:rsidRPr="00B858D9">
        <w:rPr>
          <w:sz w:val="24"/>
          <w:szCs w:val="24"/>
        </w:rPr>
        <w:t>Risk</w:t>
      </w:r>
      <w:r w:rsidRPr="00B858D9">
        <w:rPr>
          <w:b/>
          <w:sz w:val="24"/>
          <w:szCs w:val="24"/>
        </w:rPr>
        <w:t xml:space="preserve"> </w:t>
      </w:r>
      <w:r w:rsidR="000B6EE3">
        <w:rPr>
          <w:sz w:val="24"/>
          <w:szCs w:val="24"/>
        </w:rPr>
        <w:t>a</w:t>
      </w:r>
      <w:r w:rsidRPr="00B858D9">
        <w:rPr>
          <w:sz w:val="24"/>
          <w:szCs w:val="24"/>
        </w:rPr>
        <w:t xml:space="preserve">ssessment of facility location is largely subjective, but should be taken into consideration if </w:t>
      </w:r>
      <w:r w:rsidR="004763D1">
        <w:rPr>
          <w:sz w:val="24"/>
          <w:szCs w:val="24"/>
        </w:rPr>
        <w:t xml:space="preserve">the facility is </w:t>
      </w:r>
      <w:r w:rsidRPr="00B858D9">
        <w:rPr>
          <w:sz w:val="24"/>
          <w:szCs w:val="24"/>
        </w:rPr>
        <w:t xml:space="preserve">situated near </w:t>
      </w:r>
      <w:r w:rsidR="00E966F5" w:rsidRPr="00B858D9">
        <w:rPr>
          <w:sz w:val="24"/>
          <w:szCs w:val="24"/>
        </w:rPr>
        <w:t>high</w:t>
      </w:r>
      <w:r w:rsidR="00E966F5">
        <w:rPr>
          <w:sz w:val="24"/>
          <w:szCs w:val="24"/>
        </w:rPr>
        <w:t>-</w:t>
      </w:r>
      <w:r w:rsidRPr="00B858D9">
        <w:rPr>
          <w:sz w:val="24"/>
          <w:szCs w:val="24"/>
        </w:rPr>
        <w:t>risk populations with potent</w:t>
      </w:r>
      <w:r w:rsidR="000B6EE3">
        <w:rPr>
          <w:sz w:val="24"/>
          <w:szCs w:val="24"/>
        </w:rPr>
        <w:t>ial</w:t>
      </w:r>
      <w:r w:rsidR="00E966F5">
        <w:rPr>
          <w:sz w:val="24"/>
          <w:szCs w:val="24"/>
        </w:rPr>
        <w:t>ly</w:t>
      </w:r>
      <w:r w:rsidR="000B6EE3">
        <w:rPr>
          <w:sz w:val="24"/>
          <w:szCs w:val="24"/>
        </w:rPr>
        <w:t xml:space="preserve"> elevated force of infection</w:t>
      </w:r>
      <w:r w:rsidRPr="00B858D9">
        <w:rPr>
          <w:sz w:val="24"/>
          <w:szCs w:val="24"/>
        </w:rPr>
        <w:t xml:space="preserve">.   </w:t>
      </w:r>
    </w:p>
    <w:p w:rsidR="009E3EBA" w:rsidRPr="0017489F" w:rsidRDefault="0017489F" w:rsidP="00602C97">
      <w:pPr>
        <w:spacing w:before="240" w:after="0"/>
        <w:ind w:left="720"/>
        <w:rPr>
          <w:b/>
          <w:sz w:val="28"/>
          <w:szCs w:val="28"/>
        </w:rPr>
      </w:pPr>
      <w:r w:rsidRPr="0017489F">
        <w:rPr>
          <w:b/>
          <w:sz w:val="24"/>
          <w:szCs w:val="24"/>
        </w:rPr>
        <w:t>Summary</w:t>
      </w:r>
      <w:r>
        <w:rPr>
          <w:b/>
          <w:sz w:val="24"/>
          <w:szCs w:val="24"/>
        </w:rPr>
        <w:t xml:space="preserve">: </w:t>
      </w:r>
      <w:r w:rsidR="00280AFB">
        <w:rPr>
          <w:sz w:val="24"/>
          <w:szCs w:val="24"/>
        </w:rPr>
        <w:t xml:space="preserve">PIM risk </w:t>
      </w:r>
      <w:r w:rsidR="001C4EBE">
        <w:rPr>
          <w:sz w:val="24"/>
          <w:szCs w:val="24"/>
        </w:rPr>
        <w:t xml:space="preserve">divides </w:t>
      </w:r>
      <w:r w:rsidR="002D4ABB">
        <w:rPr>
          <w:sz w:val="24"/>
          <w:szCs w:val="24"/>
        </w:rPr>
        <w:t>naturally</w:t>
      </w:r>
      <w:r w:rsidR="00280AFB">
        <w:rPr>
          <w:sz w:val="24"/>
          <w:szCs w:val="24"/>
        </w:rPr>
        <w:t xml:space="preserve"> into </w:t>
      </w:r>
      <w:r w:rsidR="00FC4701">
        <w:rPr>
          <w:sz w:val="24"/>
          <w:szCs w:val="24"/>
        </w:rPr>
        <w:t>two widely divergent risk groups based on PV virulence and transmissibility. Collections with potential f</w:t>
      </w:r>
      <w:r w:rsidR="002D4ABB">
        <w:rPr>
          <w:sz w:val="24"/>
          <w:szCs w:val="24"/>
        </w:rPr>
        <w:t>or WPV/</w:t>
      </w:r>
      <w:proofErr w:type="spellStart"/>
      <w:r w:rsidR="002D4ABB">
        <w:rPr>
          <w:sz w:val="24"/>
          <w:szCs w:val="24"/>
        </w:rPr>
        <w:t>cVDPV</w:t>
      </w:r>
      <w:proofErr w:type="spellEnd"/>
      <w:r w:rsidR="002D4ABB">
        <w:rPr>
          <w:sz w:val="24"/>
          <w:szCs w:val="24"/>
        </w:rPr>
        <w:t xml:space="preserve"> are highest risk. </w:t>
      </w:r>
      <w:r w:rsidR="00FC4701">
        <w:rPr>
          <w:sz w:val="24"/>
          <w:szCs w:val="24"/>
        </w:rPr>
        <w:t xml:space="preserve">Collections with potential for only OPV/Sabin and related strains are lower risks. </w:t>
      </w:r>
      <w:r w:rsidR="002D2F1B">
        <w:rPr>
          <w:sz w:val="24"/>
          <w:szCs w:val="24"/>
        </w:rPr>
        <w:t xml:space="preserve">These categories </w:t>
      </w:r>
      <w:r w:rsidR="007F2A86">
        <w:rPr>
          <w:sz w:val="24"/>
          <w:szCs w:val="24"/>
        </w:rPr>
        <w:t xml:space="preserve">are </w:t>
      </w:r>
      <w:r w:rsidR="002D2F1B">
        <w:rPr>
          <w:sz w:val="24"/>
          <w:szCs w:val="24"/>
        </w:rPr>
        <w:t>not overlap</w:t>
      </w:r>
      <w:r w:rsidR="007F2A86">
        <w:rPr>
          <w:sz w:val="24"/>
          <w:szCs w:val="24"/>
        </w:rPr>
        <w:t>ping</w:t>
      </w:r>
      <w:r w:rsidR="00784175">
        <w:rPr>
          <w:sz w:val="24"/>
          <w:szCs w:val="24"/>
        </w:rPr>
        <w:t xml:space="preserve">. </w:t>
      </w:r>
      <w:r w:rsidR="004763D1">
        <w:rPr>
          <w:sz w:val="24"/>
          <w:szCs w:val="24"/>
        </w:rPr>
        <w:t>However,</w:t>
      </w:r>
      <w:r w:rsidR="002D2F1B">
        <w:rPr>
          <w:sz w:val="24"/>
          <w:szCs w:val="24"/>
        </w:rPr>
        <w:t xml:space="preserve"> within each </w:t>
      </w:r>
      <w:r w:rsidR="007F2A86">
        <w:rPr>
          <w:sz w:val="24"/>
          <w:szCs w:val="24"/>
        </w:rPr>
        <w:t xml:space="preserve">category </w:t>
      </w:r>
      <w:r w:rsidR="002D2F1B">
        <w:rPr>
          <w:sz w:val="24"/>
          <w:szCs w:val="24"/>
        </w:rPr>
        <w:t xml:space="preserve">are factors that may raise or lower risk of </w:t>
      </w:r>
      <w:r w:rsidR="004763D1">
        <w:rPr>
          <w:sz w:val="24"/>
          <w:szCs w:val="24"/>
        </w:rPr>
        <w:t>facility-</w:t>
      </w:r>
      <w:r w:rsidR="002D2F1B">
        <w:rPr>
          <w:sz w:val="24"/>
          <w:szCs w:val="24"/>
        </w:rPr>
        <w:t xml:space="preserve">associated transmission. </w:t>
      </w:r>
      <w:r w:rsidR="00784175">
        <w:rPr>
          <w:sz w:val="24"/>
          <w:szCs w:val="24"/>
        </w:rPr>
        <w:t>All n</w:t>
      </w:r>
      <w:r w:rsidR="002D2F1B">
        <w:rPr>
          <w:sz w:val="24"/>
          <w:szCs w:val="24"/>
        </w:rPr>
        <w:t xml:space="preserve">on-poliovirus facilities that propose to retain </w:t>
      </w:r>
      <w:r w:rsidR="00784175">
        <w:rPr>
          <w:sz w:val="24"/>
          <w:szCs w:val="24"/>
        </w:rPr>
        <w:t xml:space="preserve">PIM </w:t>
      </w:r>
      <w:r w:rsidR="002D2F1B">
        <w:rPr>
          <w:sz w:val="24"/>
          <w:szCs w:val="24"/>
        </w:rPr>
        <w:t xml:space="preserve">collections should prepare a complete risk assessment </w:t>
      </w:r>
      <w:r w:rsidR="0070210B">
        <w:rPr>
          <w:sz w:val="24"/>
          <w:szCs w:val="24"/>
        </w:rPr>
        <w:t xml:space="preserve">of polio-specific risks, </w:t>
      </w:r>
      <w:r w:rsidR="002D2F1B">
        <w:rPr>
          <w:sz w:val="24"/>
          <w:szCs w:val="24"/>
        </w:rPr>
        <w:t>with the objective of minimizing facility risks.</w:t>
      </w:r>
      <w:r w:rsidR="002D4ABB">
        <w:rPr>
          <w:sz w:val="24"/>
          <w:szCs w:val="24"/>
        </w:rPr>
        <w:t xml:space="preserve"> </w:t>
      </w:r>
    </w:p>
    <w:p w:rsidR="006F773E" w:rsidRDefault="006F773E" w:rsidP="00FC4701">
      <w:pPr>
        <w:spacing w:before="240" w:after="0"/>
        <w:ind w:left="360"/>
        <w:jc w:val="center"/>
        <w:rPr>
          <w:b/>
        </w:rPr>
      </w:pPr>
    </w:p>
    <w:p w:rsidR="00AD0DC8" w:rsidRPr="00FE7CBF" w:rsidRDefault="00AD0DC8" w:rsidP="00AD0DC8">
      <w:pPr>
        <w:spacing w:before="240" w:after="0"/>
        <w:ind w:left="360"/>
      </w:pPr>
    </w:p>
    <w:p w:rsidR="00887E4E" w:rsidRDefault="00887E4E">
      <w:pPr>
        <w:rPr>
          <w:b/>
          <w:sz w:val="28"/>
          <w:szCs w:val="28"/>
        </w:rPr>
      </w:pPr>
      <w:r>
        <w:rPr>
          <w:b/>
          <w:sz w:val="28"/>
          <w:szCs w:val="28"/>
        </w:rPr>
        <w:br w:type="page"/>
      </w:r>
    </w:p>
    <w:p w:rsidR="00887E4E" w:rsidRDefault="00887E4E" w:rsidP="006F42BD">
      <w:pPr>
        <w:pStyle w:val="Heading1"/>
      </w:pPr>
      <w:bookmarkStart w:id="23" w:name="_Toc492292904"/>
      <w:r>
        <w:lastRenderedPageBreak/>
        <w:t xml:space="preserve">Annex </w:t>
      </w:r>
      <w:r w:rsidR="000E0DBF">
        <w:t>2</w:t>
      </w:r>
      <w:r>
        <w:t>. Poliovirus permissive cell lines</w:t>
      </w:r>
      <w:bookmarkEnd w:id="23"/>
    </w:p>
    <w:p w:rsidR="006F42BD" w:rsidRDefault="006F42BD" w:rsidP="00887E4E">
      <w:pPr>
        <w:jc w:val="both"/>
      </w:pPr>
    </w:p>
    <w:p w:rsidR="00887E4E" w:rsidRDefault="00887E4E" w:rsidP="00887E4E">
      <w:pPr>
        <w:jc w:val="both"/>
      </w:pPr>
      <w:r w:rsidRPr="00DF0C93">
        <w:t xml:space="preserve">Poliovirus grows in nearly all human and monkey cell lines, in addition to mouse L cells (L20B, Lα) that express the human poliovirus receptor (CD155). The </w:t>
      </w:r>
      <w:r>
        <w:t>list below</w:t>
      </w:r>
      <w:r w:rsidRPr="00DF0C93">
        <w:t xml:space="preserve"> highlights some, but not all cell lines susceptible to poliovirus</w:t>
      </w:r>
      <w:r w:rsidR="00B62ECA">
        <w:t xml:space="preserve"> infection</w:t>
      </w:r>
      <w:r w:rsidRPr="00DF0C93">
        <w:t>.</w:t>
      </w:r>
    </w:p>
    <w:p w:rsidR="00887E4E" w:rsidRDefault="00887E4E" w:rsidP="00887E4E">
      <w:pPr>
        <w:jc w:val="both"/>
      </w:pPr>
      <w:r>
        <w:t xml:space="preserve">Extracts of </w:t>
      </w:r>
      <w:proofErr w:type="spellStart"/>
      <w:r>
        <w:t>faecal</w:t>
      </w:r>
      <w:proofErr w:type="spellEnd"/>
      <w:r>
        <w:t xml:space="preserve"> specimens, rectal swabs or respiratory specimens that are inoculated onto </w:t>
      </w:r>
      <w:r w:rsidR="00B62ECA">
        <w:t xml:space="preserve">the </w:t>
      </w:r>
      <w:r>
        <w:t>poliovirus-susceptible cells listed below will amplify any polioviruses</w:t>
      </w:r>
      <w:r w:rsidR="00B62ECA" w:rsidRPr="00B62ECA">
        <w:t xml:space="preserve"> </w:t>
      </w:r>
      <w:r w:rsidR="00B62ECA">
        <w:t>that are present</w:t>
      </w:r>
      <w:r>
        <w:t xml:space="preserve">. </w:t>
      </w:r>
    </w:p>
    <w:p w:rsidR="00887E4E" w:rsidRDefault="00887E4E" w:rsidP="00887E4E">
      <w:pPr>
        <w:jc w:val="both"/>
      </w:pPr>
    </w:p>
    <w:tbl>
      <w:tblPr>
        <w:tblW w:w="0" w:type="auto"/>
        <w:tblInd w:w="6" w:type="dxa"/>
        <w:tblLayout w:type="fixed"/>
        <w:tblCellMar>
          <w:left w:w="0" w:type="dxa"/>
          <w:right w:w="0" w:type="dxa"/>
        </w:tblCellMar>
        <w:tblLook w:val="01E0" w:firstRow="1" w:lastRow="1" w:firstColumn="1" w:lastColumn="1" w:noHBand="0" w:noVBand="0"/>
      </w:tblPr>
      <w:tblGrid>
        <w:gridCol w:w="5387"/>
        <w:gridCol w:w="3685"/>
      </w:tblGrid>
      <w:tr w:rsidR="00887E4E" w:rsidRPr="00DF0C93" w:rsidTr="00F81568">
        <w:trPr>
          <w:trHeight w:val="369"/>
        </w:trPr>
        <w:tc>
          <w:tcPr>
            <w:tcW w:w="5387" w:type="dxa"/>
            <w:tcBorders>
              <w:top w:val="single" w:sz="5" w:space="0" w:color="000000"/>
              <w:left w:val="single" w:sz="5" w:space="0" w:color="000000"/>
              <w:bottom w:val="single" w:sz="5" w:space="0" w:color="000000"/>
              <w:right w:val="single" w:sz="5" w:space="0" w:color="000000"/>
            </w:tcBorders>
            <w:shd w:val="clear" w:color="auto" w:fill="8CC7EC"/>
            <w:vAlign w:val="center"/>
          </w:tcPr>
          <w:p w:rsidR="00887E4E" w:rsidRPr="00DF0C93" w:rsidRDefault="00887E4E" w:rsidP="00F81568">
            <w:pPr>
              <w:jc w:val="center"/>
            </w:pPr>
            <w:r>
              <w:t>Poliovirus-permissive</w:t>
            </w:r>
            <w:r w:rsidRPr="00DF0C93">
              <w:t xml:space="preserve"> </w:t>
            </w:r>
            <w:r>
              <w:t>cell lines</w:t>
            </w:r>
          </w:p>
        </w:tc>
        <w:tc>
          <w:tcPr>
            <w:tcW w:w="3685" w:type="dxa"/>
            <w:tcBorders>
              <w:top w:val="single" w:sz="5" w:space="0" w:color="000000"/>
              <w:left w:val="single" w:sz="5" w:space="0" w:color="000000"/>
              <w:bottom w:val="single" w:sz="5" w:space="0" w:color="000000"/>
              <w:right w:val="single" w:sz="5" w:space="0" w:color="000000"/>
            </w:tcBorders>
            <w:shd w:val="clear" w:color="auto" w:fill="8CC7EC"/>
            <w:vAlign w:val="center"/>
          </w:tcPr>
          <w:p w:rsidR="00887E4E" w:rsidRPr="00DF0C93" w:rsidRDefault="00887E4E" w:rsidP="00F81568">
            <w:pPr>
              <w:jc w:val="center"/>
            </w:pPr>
            <w:r>
              <w:t>origin</w:t>
            </w:r>
          </w:p>
        </w:tc>
      </w:tr>
      <w:tr w:rsidR="00887E4E" w:rsidRPr="00DF0C93" w:rsidTr="00F81568">
        <w:trPr>
          <w:trHeight w:val="369"/>
        </w:trPr>
        <w:tc>
          <w:tcPr>
            <w:tcW w:w="5387" w:type="dxa"/>
            <w:tcBorders>
              <w:top w:val="single" w:sz="5" w:space="0" w:color="000000"/>
              <w:left w:val="single" w:sz="5" w:space="0" w:color="000000"/>
              <w:bottom w:val="single" w:sz="5" w:space="0" w:color="000000"/>
              <w:right w:val="single" w:sz="5" w:space="0" w:color="000000"/>
            </w:tcBorders>
            <w:vAlign w:val="center"/>
          </w:tcPr>
          <w:p w:rsidR="00887E4E" w:rsidRPr="00DF0C93" w:rsidRDefault="00887E4E" w:rsidP="00F81568">
            <w:pPr>
              <w:ind w:left="176" w:right="142"/>
              <w:jc w:val="both"/>
            </w:pPr>
            <w:r w:rsidRPr="00DF0C93">
              <w:t>HeLa</w:t>
            </w:r>
          </w:p>
        </w:tc>
        <w:tc>
          <w:tcPr>
            <w:tcW w:w="3685" w:type="dxa"/>
            <w:tcBorders>
              <w:top w:val="single" w:sz="5" w:space="0" w:color="000000"/>
              <w:left w:val="single" w:sz="5" w:space="0" w:color="000000"/>
              <w:bottom w:val="single" w:sz="5" w:space="0" w:color="000000"/>
              <w:right w:val="single" w:sz="5" w:space="0" w:color="000000"/>
            </w:tcBorders>
            <w:vAlign w:val="center"/>
          </w:tcPr>
          <w:p w:rsidR="00887E4E" w:rsidRPr="00DF0C93" w:rsidRDefault="00887E4E" w:rsidP="00F81568">
            <w:pPr>
              <w:ind w:left="176" w:right="142"/>
              <w:jc w:val="both"/>
            </w:pPr>
            <w:r w:rsidRPr="00DF0C93">
              <w:t>Human</w:t>
            </w:r>
          </w:p>
        </w:tc>
      </w:tr>
      <w:tr w:rsidR="00887E4E" w:rsidRPr="00DF0C93" w:rsidTr="00F81568">
        <w:trPr>
          <w:trHeight w:val="369"/>
        </w:trPr>
        <w:tc>
          <w:tcPr>
            <w:tcW w:w="5387" w:type="dxa"/>
            <w:tcBorders>
              <w:top w:val="single" w:sz="5" w:space="0" w:color="000000"/>
              <w:left w:val="single" w:sz="5" w:space="0" w:color="000000"/>
              <w:bottom w:val="single" w:sz="5" w:space="0" w:color="000000"/>
              <w:right w:val="single" w:sz="5" w:space="0" w:color="000000"/>
            </w:tcBorders>
            <w:vAlign w:val="center"/>
          </w:tcPr>
          <w:p w:rsidR="00887E4E" w:rsidRPr="00DF0C93" w:rsidRDefault="00887E4E" w:rsidP="00F81568">
            <w:pPr>
              <w:ind w:left="176" w:right="142"/>
              <w:jc w:val="both"/>
            </w:pPr>
            <w:r w:rsidRPr="00DF0C93">
              <w:t>Hep-2</w:t>
            </w:r>
          </w:p>
        </w:tc>
        <w:tc>
          <w:tcPr>
            <w:tcW w:w="3685" w:type="dxa"/>
            <w:tcBorders>
              <w:top w:val="single" w:sz="5" w:space="0" w:color="000000"/>
              <w:left w:val="single" w:sz="5" w:space="0" w:color="000000"/>
              <w:bottom w:val="single" w:sz="5" w:space="0" w:color="000000"/>
              <w:right w:val="single" w:sz="5" w:space="0" w:color="000000"/>
            </w:tcBorders>
            <w:vAlign w:val="center"/>
          </w:tcPr>
          <w:p w:rsidR="00887E4E" w:rsidRPr="00DF0C93" w:rsidRDefault="00887E4E" w:rsidP="00F81568">
            <w:pPr>
              <w:ind w:left="176" w:right="142"/>
              <w:jc w:val="both"/>
            </w:pPr>
            <w:r w:rsidRPr="00DF0C93">
              <w:t>Human</w:t>
            </w:r>
          </w:p>
        </w:tc>
      </w:tr>
      <w:tr w:rsidR="00887E4E" w:rsidRPr="00DF0C93" w:rsidTr="00F81568">
        <w:trPr>
          <w:trHeight w:val="369"/>
        </w:trPr>
        <w:tc>
          <w:tcPr>
            <w:tcW w:w="5387" w:type="dxa"/>
            <w:tcBorders>
              <w:top w:val="single" w:sz="5" w:space="0" w:color="000000"/>
              <w:left w:val="single" w:sz="5" w:space="0" w:color="000000"/>
              <w:bottom w:val="single" w:sz="5" w:space="0" w:color="000000"/>
              <w:right w:val="single" w:sz="5" w:space="0" w:color="000000"/>
            </w:tcBorders>
            <w:vAlign w:val="center"/>
          </w:tcPr>
          <w:p w:rsidR="00887E4E" w:rsidRPr="00DF0C93" w:rsidRDefault="00887E4E" w:rsidP="00F81568">
            <w:pPr>
              <w:ind w:left="176" w:right="142"/>
              <w:jc w:val="both"/>
            </w:pPr>
            <w:r w:rsidRPr="00DF0C93">
              <w:t>HEK</w:t>
            </w:r>
          </w:p>
        </w:tc>
        <w:tc>
          <w:tcPr>
            <w:tcW w:w="3685" w:type="dxa"/>
            <w:tcBorders>
              <w:top w:val="single" w:sz="5" w:space="0" w:color="000000"/>
              <w:left w:val="single" w:sz="5" w:space="0" w:color="000000"/>
              <w:bottom w:val="single" w:sz="5" w:space="0" w:color="000000"/>
              <w:right w:val="single" w:sz="5" w:space="0" w:color="000000"/>
            </w:tcBorders>
            <w:vAlign w:val="center"/>
          </w:tcPr>
          <w:p w:rsidR="00887E4E" w:rsidRPr="00DF0C93" w:rsidRDefault="00887E4E" w:rsidP="00F81568">
            <w:pPr>
              <w:ind w:left="176" w:right="142"/>
              <w:jc w:val="both"/>
            </w:pPr>
            <w:r w:rsidRPr="00DF0C93">
              <w:t>Human</w:t>
            </w:r>
          </w:p>
        </w:tc>
      </w:tr>
      <w:tr w:rsidR="00887E4E" w:rsidRPr="00DF0C93" w:rsidTr="00F81568">
        <w:trPr>
          <w:trHeight w:val="369"/>
        </w:trPr>
        <w:tc>
          <w:tcPr>
            <w:tcW w:w="5387" w:type="dxa"/>
            <w:tcBorders>
              <w:top w:val="single" w:sz="5" w:space="0" w:color="000000"/>
              <w:left w:val="single" w:sz="5" w:space="0" w:color="000000"/>
              <w:bottom w:val="single" w:sz="5" w:space="0" w:color="000000"/>
              <w:right w:val="single" w:sz="5" w:space="0" w:color="000000"/>
            </w:tcBorders>
            <w:vAlign w:val="center"/>
          </w:tcPr>
          <w:p w:rsidR="00887E4E" w:rsidRPr="00DF0C93" w:rsidRDefault="00887E4E" w:rsidP="00F81568">
            <w:pPr>
              <w:ind w:left="176" w:right="142"/>
              <w:jc w:val="both"/>
            </w:pPr>
            <w:r w:rsidRPr="00DF0C93">
              <w:t>MRC-5</w:t>
            </w:r>
          </w:p>
        </w:tc>
        <w:tc>
          <w:tcPr>
            <w:tcW w:w="3685" w:type="dxa"/>
            <w:tcBorders>
              <w:top w:val="single" w:sz="5" w:space="0" w:color="000000"/>
              <w:left w:val="single" w:sz="5" w:space="0" w:color="000000"/>
              <w:bottom w:val="single" w:sz="5" w:space="0" w:color="000000"/>
              <w:right w:val="single" w:sz="5" w:space="0" w:color="000000"/>
            </w:tcBorders>
            <w:vAlign w:val="center"/>
          </w:tcPr>
          <w:p w:rsidR="00887E4E" w:rsidRPr="00DF0C93" w:rsidRDefault="00887E4E" w:rsidP="00F81568">
            <w:pPr>
              <w:ind w:left="176" w:right="142"/>
              <w:jc w:val="both"/>
            </w:pPr>
            <w:r w:rsidRPr="00DF0C93">
              <w:t>Human</w:t>
            </w:r>
          </w:p>
        </w:tc>
      </w:tr>
      <w:tr w:rsidR="00887E4E" w:rsidRPr="00DF0C93" w:rsidTr="00F81568">
        <w:trPr>
          <w:trHeight w:val="369"/>
        </w:trPr>
        <w:tc>
          <w:tcPr>
            <w:tcW w:w="5387" w:type="dxa"/>
            <w:tcBorders>
              <w:top w:val="single" w:sz="5" w:space="0" w:color="000000"/>
              <w:left w:val="single" w:sz="5" w:space="0" w:color="000000"/>
              <w:bottom w:val="single" w:sz="5" w:space="0" w:color="000000"/>
              <w:right w:val="single" w:sz="5" w:space="0" w:color="000000"/>
            </w:tcBorders>
            <w:vAlign w:val="center"/>
          </w:tcPr>
          <w:p w:rsidR="00887E4E" w:rsidRPr="00DF0C93" w:rsidRDefault="00887E4E" w:rsidP="00F81568">
            <w:pPr>
              <w:ind w:left="176" w:right="142"/>
              <w:jc w:val="both"/>
            </w:pPr>
            <w:r w:rsidRPr="00DF0C93">
              <w:t>RD</w:t>
            </w:r>
          </w:p>
        </w:tc>
        <w:tc>
          <w:tcPr>
            <w:tcW w:w="3685" w:type="dxa"/>
            <w:tcBorders>
              <w:top w:val="single" w:sz="5" w:space="0" w:color="000000"/>
              <w:left w:val="single" w:sz="5" w:space="0" w:color="000000"/>
              <w:bottom w:val="single" w:sz="5" w:space="0" w:color="000000"/>
              <w:right w:val="single" w:sz="5" w:space="0" w:color="000000"/>
            </w:tcBorders>
            <w:vAlign w:val="center"/>
          </w:tcPr>
          <w:p w:rsidR="00887E4E" w:rsidRPr="00DF0C93" w:rsidRDefault="00887E4E" w:rsidP="00F81568">
            <w:pPr>
              <w:ind w:left="176" w:right="142"/>
              <w:jc w:val="both"/>
            </w:pPr>
            <w:r w:rsidRPr="00DF0C93">
              <w:t>Human</w:t>
            </w:r>
          </w:p>
        </w:tc>
      </w:tr>
      <w:tr w:rsidR="00887E4E" w:rsidRPr="00DF0C93" w:rsidTr="00F81568">
        <w:trPr>
          <w:trHeight w:val="369"/>
        </w:trPr>
        <w:tc>
          <w:tcPr>
            <w:tcW w:w="5387" w:type="dxa"/>
            <w:tcBorders>
              <w:top w:val="single" w:sz="5" w:space="0" w:color="000000"/>
              <w:left w:val="single" w:sz="5" w:space="0" w:color="000000"/>
              <w:bottom w:val="single" w:sz="5" w:space="0" w:color="000000"/>
              <w:right w:val="single" w:sz="5" w:space="0" w:color="000000"/>
            </w:tcBorders>
            <w:vAlign w:val="center"/>
          </w:tcPr>
          <w:p w:rsidR="00887E4E" w:rsidRPr="00DF0C93" w:rsidRDefault="00887E4E" w:rsidP="00F81568">
            <w:pPr>
              <w:ind w:left="176" w:right="142"/>
              <w:jc w:val="both"/>
            </w:pPr>
            <w:r w:rsidRPr="00DF0C93">
              <w:t>A549</w:t>
            </w:r>
          </w:p>
        </w:tc>
        <w:tc>
          <w:tcPr>
            <w:tcW w:w="3685" w:type="dxa"/>
            <w:tcBorders>
              <w:top w:val="single" w:sz="5" w:space="0" w:color="000000"/>
              <w:left w:val="single" w:sz="5" w:space="0" w:color="000000"/>
              <w:bottom w:val="single" w:sz="5" w:space="0" w:color="000000"/>
              <w:right w:val="single" w:sz="5" w:space="0" w:color="000000"/>
            </w:tcBorders>
            <w:vAlign w:val="center"/>
          </w:tcPr>
          <w:p w:rsidR="00887E4E" w:rsidRPr="00DF0C93" w:rsidRDefault="00887E4E" w:rsidP="00F81568">
            <w:pPr>
              <w:ind w:left="176" w:right="142"/>
              <w:jc w:val="both"/>
            </w:pPr>
            <w:r w:rsidRPr="00DF0C93">
              <w:t>Human</w:t>
            </w:r>
          </w:p>
        </w:tc>
      </w:tr>
      <w:tr w:rsidR="00887E4E" w:rsidRPr="00DF0C93" w:rsidTr="00F81568">
        <w:trPr>
          <w:trHeight w:val="369"/>
        </w:trPr>
        <w:tc>
          <w:tcPr>
            <w:tcW w:w="5387" w:type="dxa"/>
            <w:tcBorders>
              <w:top w:val="single" w:sz="5" w:space="0" w:color="000000"/>
              <w:left w:val="single" w:sz="5" w:space="0" w:color="000000"/>
              <w:bottom w:val="single" w:sz="5" w:space="0" w:color="000000"/>
              <w:right w:val="single" w:sz="5" w:space="0" w:color="000000"/>
            </w:tcBorders>
            <w:vAlign w:val="center"/>
          </w:tcPr>
          <w:p w:rsidR="00887E4E" w:rsidRPr="00DF0C93" w:rsidRDefault="00887E4E" w:rsidP="00F81568">
            <w:pPr>
              <w:ind w:left="176" w:right="142"/>
              <w:jc w:val="both"/>
            </w:pPr>
            <w:r w:rsidRPr="00DF0C93">
              <w:t>CaCo-2</w:t>
            </w:r>
          </w:p>
        </w:tc>
        <w:tc>
          <w:tcPr>
            <w:tcW w:w="3685" w:type="dxa"/>
            <w:tcBorders>
              <w:top w:val="single" w:sz="5" w:space="0" w:color="000000"/>
              <w:left w:val="single" w:sz="5" w:space="0" w:color="000000"/>
              <w:bottom w:val="single" w:sz="5" w:space="0" w:color="000000"/>
              <w:right w:val="single" w:sz="5" w:space="0" w:color="000000"/>
            </w:tcBorders>
            <w:vAlign w:val="center"/>
          </w:tcPr>
          <w:p w:rsidR="00887E4E" w:rsidRPr="00DF0C93" w:rsidRDefault="00887E4E" w:rsidP="00F81568">
            <w:pPr>
              <w:ind w:left="176" w:right="142"/>
              <w:jc w:val="both"/>
            </w:pPr>
            <w:r w:rsidRPr="00DF0C93">
              <w:t>Human</w:t>
            </w:r>
          </w:p>
        </w:tc>
      </w:tr>
      <w:tr w:rsidR="00887E4E" w:rsidRPr="00DF0C93" w:rsidTr="00F81568">
        <w:trPr>
          <w:trHeight w:val="369"/>
        </w:trPr>
        <w:tc>
          <w:tcPr>
            <w:tcW w:w="5387" w:type="dxa"/>
            <w:tcBorders>
              <w:top w:val="single" w:sz="5" w:space="0" w:color="000000"/>
              <w:left w:val="single" w:sz="5" w:space="0" w:color="000000"/>
              <w:bottom w:val="single" w:sz="5" w:space="0" w:color="000000"/>
              <w:right w:val="single" w:sz="5" w:space="0" w:color="000000"/>
            </w:tcBorders>
            <w:vAlign w:val="center"/>
          </w:tcPr>
          <w:p w:rsidR="00887E4E" w:rsidRPr="00DF0C93" w:rsidRDefault="00887E4E" w:rsidP="00F81568">
            <w:pPr>
              <w:ind w:left="176" w:right="142"/>
              <w:jc w:val="both"/>
            </w:pPr>
            <w:r w:rsidRPr="00DF0C93">
              <w:t>WI-38</w:t>
            </w:r>
          </w:p>
        </w:tc>
        <w:tc>
          <w:tcPr>
            <w:tcW w:w="3685" w:type="dxa"/>
            <w:tcBorders>
              <w:top w:val="single" w:sz="5" w:space="0" w:color="000000"/>
              <w:left w:val="single" w:sz="5" w:space="0" w:color="000000"/>
              <w:bottom w:val="single" w:sz="5" w:space="0" w:color="000000"/>
              <w:right w:val="single" w:sz="5" w:space="0" w:color="000000"/>
            </w:tcBorders>
            <w:vAlign w:val="center"/>
          </w:tcPr>
          <w:p w:rsidR="00887E4E" w:rsidRPr="00DF0C93" w:rsidRDefault="00887E4E" w:rsidP="00F81568">
            <w:pPr>
              <w:ind w:left="176" w:right="142"/>
              <w:jc w:val="both"/>
            </w:pPr>
            <w:r w:rsidRPr="00DF0C93">
              <w:t>Human</w:t>
            </w:r>
          </w:p>
        </w:tc>
      </w:tr>
      <w:tr w:rsidR="00887E4E" w:rsidRPr="00DF0C93" w:rsidTr="00F81568">
        <w:trPr>
          <w:trHeight w:val="369"/>
        </w:trPr>
        <w:tc>
          <w:tcPr>
            <w:tcW w:w="5387" w:type="dxa"/>
            <w:tcBorders>
              <w:top w:val="single" w:sz="5" w:space="0" w:color="000000"/>
              <w:left w:val="single" w:sz="5" w:space="0" w:color="000000"/>
              <w:bottom w:val="single" w:sz="5" w:space="0" w:color="000000"/>
              <w:right w:val="single" w:sz="5" w:space="0" w:color="000000"/>
            </w:tcBorders>
            <w:vAlign w:val="center"/>
          </w:tcPr>
          <w:p w:rsidR="00887E4E" w:rsidRPr="00DF0C93" w:rsidRDefault="00887E4E" w:rsidP="00F81568">
            <w:pPr>
              <w:ind w:left="176" w:right="142"/>
              <w:jc w:val="both"/>
            </w:pPr>
            <w:r>
              <w:t>V</w:t>
            </w:r>
            <w:r w:rsidRPr="00DF0C93">
              <w:t>arious neuroblastoma (e.g. IMR-32, SK-N- MC)</w:t>
            </w:r>
          </w:p>
        </w:tc>
        <w:tc>
          <w:tcPr>
            <w:tcW w:w="3685" w:type="dxa"/>
            <w:tcBorders>
              <w:top w:val="single" w:sz="5" w:space="0" w:color="000000"/>
              <w:left w:val="single" w:sz="5" w:space="0" w:color="000000"/>
              <w:bottom w:val="single" w:sz="5" w:space="0" w:color="000000"/>
              <w:right w:val="single" w:sz="5" w:space="0" w:color="000000"/>
            </w:tcBorders>
            <w:vAlign w:val="center"/>
          </w:tcPr>
          <w:p w:rsidR="00887E4E" w:rsidRPr="00DF0C93" w:rsidRDefault="00887E4E" w:rsidP="00F81568">
            <w:pPr>
              <w:ind w:left="176" w:right="142"/>
              <w:jc w:val="both"/>
            </w:pPr>
            <w:r w:rsidRPr="00DF0C93">
              <w:t>Human</w:t>
            </w:r>
          </w:p>
        </w:tc>
      </w:tr>
      <w:tr w:rsidR="00887E4E" w:rsidRPr="00DF0C93" w:rsidTr="00F81568">
        <w:trPr>
          <w:trHeight w:val="369"/>
        </w:trPr>
        <w:tc>
          <w:tcPr>
            <w:tcW w:w="5387" w:type="dxa"/>
            <w:tcBorders>
              <w:top w:val="single" w:sz="5" w:space="0" w:color="000000"/>
              <w:left w:val="single" w:sz="5" w:space="0" w:color="000000"/>
              <w:bottom w:val="single" w:sz="5" w:space="0" w:color="000000"/>
              <w:right w:val="single" w:sz="5" w:space="0" w:color="000000"/>
            </w:tcBorders>
            <w:vAlign w:val="center"/>
          </w:tcPr>
          <w:p w:rsidR="00887E4E" w:rsidRPr="00DF0C93" w:rsidRDefault="00887E4E" w:rsidP="00F81568">
            <w:pPr>
              <w:ind w:left="176" w:right="142"/>
              <w:jc w:val="both"/>
            </w:pPr>
            <w:r w:rsidRPr="00DF0C93">
              <w:t>PERC-6</w:t>
            </w:r>
          </w:p>
        </w:tc>
        <w:tc>
          <w:tcPr>
            <w:tcW w:w="3685" w:type="dxa"/>
            <w:tcBorders>
              <w:top w:val="single" w:sz="5" w:space="0" w:color="000000"/>
              <w:left w:val="single" w:sz="5" w:space="0" w:color="000000"/>
              <w:bottom w:val="single" w:sz="5" w:space="0" w:color="000000"/>
              <w:right w:val="single" w:sz="5" w:space="0" w:color="000000"/>
            </w:tcBorders>
            <w:vAlign w:val="center"/>
          </w:tcPr>
          <w:p w:rsidR="00887E4E" w:rsidRPr="00DF0C93" w:rsidRDefault="00887E4E" w:rsidP="00F81568">
            <w:pPr>
              <w:ind w:left="176" w:right="142"/>
              <w:jc w:val="both"/>
            </w:pPr>
            <w:r w:rsidRPr="00DF0C93">
              <w:t>Human</w:t>
            </w:r>
          </w:p>
        </w:tc>
      </w:tr>
      <w:tr w:rsidR="00887E4E" w:rsidRPr="00DF0C93" w:rsidTr="00F81568">
        <w:trPr>
          <w:trHeight w:val="369"/>
        </w:trPr>
        <w:tc>
          <w:tcPr>
            <w:tcW w:w="5387" w:type="dxa"/>
            <w:tcBorders>
              <w:top w:val="single" w:sz="5" w:space="0" w:color="000000"/>
              <w:left w:val="single" w:sz="5" w:space="0" w:color="000000"/>
              <w:bottom w:val="single" w:sz="5" w:space="0" w:color="000000"/>
              <w:right w:val="single" w:sz="5" w:space="0" w:color="000000"/>
            </w:tcBorders>
            <w:vAlign w:val="center"/>
          </w:tcPr>
          <w:p w:rsidR="00887E4E" w:rsidRPr="00DF0C93" w:rsidRDefault="00887E4E" w:rsidP="00F81568">
            <w:pPr>
              <w:ind w:left="176" w:right="142"/>
              <w:jc w:val="both"/>
            </w:pPr>
            <w:r w:rsidRPr="00DF0C93">
              <w:t>BGM</w:t>
            </w:r>
          </w:p>
        </w:tc>
        <w:tc>
          <w:tcPr>
            <w:tcW w:w="3685" w:type="dxa"/>
            <w:tcBorders>
              <w:top w:val="single" w:sz="5" w:space="0" w:color="000000"/>
              <w:left w:val="single" w:sz="5" w:space="0" w:color="000000"/>
              <w:bottom w:val="single" w:sz="5" w:space="0" w:color="000000"/>
              <w:right w:val="single" w:sz="5" w:space="0" w:color="000000"/>
            </w:tcBorders>
            <w:vAlign w:val="center"/>
          </w:tcPr>
          <w:p w:rsidR="00887E4E" w:rsidRPr="00DF0C93" w:rsidRDefault="00887E4E" w:rsidP="00F81568">
            <w:pPr>
              <w:ind w:left="176" w:right="142"/>
              <w:jc w:val="both"/>
            </w:pPr>
            <w:r w:rsidRPr="00DF0C93">
              <w:t>Non-Human Primate</w:t>
            </w:r>
          </w:p>
        </w:tc>
      </w:tr>
      <w:tr w:rsidR="00887E4E" w:rsidRPr="00DF0C93" w:rsidTr="00F81568">
        <w:trPr>
          <w:trHeight w:val="369"/>
        </w:trPr>
        <w:tc>
          <w:tcPr>
            <w:tcW w:w="5387" w:type="dxa"/>
            <w:tcBorders>
              <w:top w:val="single" w:sz="5" w:space="0" w:color="000000"/>
              <w:left w:val="single" w:sz="5" w:space="0" w:color="000000"/>
              <w:bottom w:val="single" w:sz="5" w:space="0" w:color="000000"/>
              <w:right w:val="single" w:sz="5" w:space="0" w:color="000000"/>
            </w:tcBorders>
            <w:vAlign w:val="center"/>
          </w:tcPr>
          <w:p w:rsidR="00887E4E" w:rsidRPr="00DF0C93" w:rsidRDefault="00887E4E" w:rsidP="00F81568">
            <w:pPr>
              <w:ind w:left="176" w:right="142"/>
              <w:jc w:val="both"/>
            </w:pPr>
            <w:r w:rsidRPr="00DF0C93">
              <w:t>LLC-MK2</w:t>
            </w:r>
          </w:p>
        </w:tc>
        <w:tc>
          <w:tcPr>
            <w:tcW w:w="3685" w:type="dxa"/>
            <w:tcBorders>
              <w:top w:val="single" w:sz="5" w:space="0" w:color="000000"/>
              <w:left w:val="single" w:sz="5" w:space="0" w:color="000000"/>
              <w:bottom w:val="single" w:sz="5" w:space="0" w:color="000000"/>
              <w:right w:val="single" w:sz="5" w:space="0" w:color="000000"/>
            </w:tcBorders>
            <w:vAlign w:val="center"/>
          </w:tcPr>
          <w:p w:rsidR="00887E4E" w:rsidRPr="00DF0C93" w:rsidRDefault="00887E4E" w:rsidP="00F81568">
            <w:pPr>
              <w:ind w:left="176" w:right="142"/>
              <w:jc w:val="both"/>
            </w:pPr>
            <w:r w:rsidRPr="00DF0C93">
              <w:t>Non-Human Primate</w:t>
            </w:r>
          </w:p>
        </w:tc>
      </w:tr>
      <w:tr w:rsidR="00887E4E" w:rsidRPr="00DF0C93" w:rsidTr="00F81568">
        <w:trPr>
          <w:trHeight w:val="369"/>
        </w:trPr>
        <w:tc>
          <w:tcPr>
            <w:tcW w:w="5387" w:type="dxa"/>
            <w:tcBorders>
              <w:top w:val="single" w:sz="5" w:space="0" w:color="000000"/>
              <w:left w:val="single" w:sz="5" w:space="0" w:color="000000"/>
              <w:bottom w:val="single" w:sz="5" w:space="0" w:color="000000"/>
              <w:right w:val="single" w:sz="5" w:space="0" w:color="000000"/>
            </w:tcBorders>
            <w:vAlign w:val="center"/>
          </w:tcPr>
          <w:p w:rsidR="00887E4E" w:rsidRPr="00DF0C93" w:rsidRDefault="00887E4E" w:rsidP="00F81568">
            <w:pPr>
              <w:ind w:left="176" w:right="142"/>
              <w:jc w:val="both"/>
            </w:pPr>
            <w:r w:rsidRPr="00DF0C93">
              <w:t>Vero</w:t>
            </w:r>
          </w:p>
        </w:tc>
        <w:tc>
          <w:tcPr>
            <w:tcW w:w="3685" w:type="dxa"/>
            <w:tcBorders>
              <w:top w:val="single" w:sz="5" w:space="0" w:color="000000"/>
              <w:left w:val="single" w:sz="5" w:space="0" w:color="000000"/>
              <w:bottom w:val="single" w:sz="5" w:space="0" w:color="000000"/>
              <w:right w:val="single" w:sz="5" w:space="0" w:color="000000"/>
            </w:tcBorders>
            <w:vAlign w:val="center"/>
          </w:tcPr>
          <w:p w:rsidR="00887E4E" w:rsidRPr="00DF0C93" w:rsidRDefault="00887E4E" w:rsidP="00F81568">
            <w:pPr>
              <w:ind w:left="176" w:right="142"/>
              <w:jc w:val="both"/>
            </w:pPr>
            <w:r w:rsidRPr="00DF0C93">
              <w:t>Non-Human Primate</w:t>
            </w:r>
          </w:p>
        </w:tc>
      </w:tr>
      <w:tr w:rsidR="00887E4E" w:rsidRPr="00DF0C93" w:rsidTr="00F81568">
        <w:trPr>
          <w:trHeight w:val="369"/>
        </w:trPr>
        <w:tc>
          <w:tcPr>
            <w:tcW w:w="5387" w:type="dxa"/>
            <w:tcBorders>
              <w:top w:val="single" w:sz="5" w:space="0" w:color="000000"/>
              <w:left w:val="single" w:sz="5" w:space="0" w:color="000000"/>
              <w:bottom w:val="single" w:sz="5" w:space="0" w:color="000000"/>
              <w:right w:val="single" w:sz="5" w:space="0" w:color="000000"/>
            </w:tcBorders>
            <w:vAlign w:val="center"/>
          </w:tcPr>
          <w:p w:rsidR="00887E4E" w:rsidRPr="00DF0C93" w:rsidRDefault="00887E4E" w:rsidP="00F81568">
            <w:pPr>
              <w:ind w:left="176" w:right="142"/>
              <w:jc w:val="both"/>
            </w:pPr>
            <w:r w:rsidRPr="00DF0C93">
              <w:t>MA-104 (Vero derivative)</w:t>
            </w:r>
          </w:p>
        </w:tc>
        <w:tc>
          <w:tcPr>
            <w:tcW w:w="3685" w:type="dxa"/>
            <w:tcBorders>
              <w:top w:val="single" w:sz="5" w:space="0" w:color="000000"/>
              <w:left w:val="single" w:sz="5" w:space="0" w:color="000000"/>
              <w:bottom w:val="single" w:sz="5" w:space="0" w:color="000000"/>
              <w:right w:val="single" w:sz="5" w:space="0" w:color="000000"/>
            </w:tcBorders>
            <w:vAlign w:val="center"/>
          </w:tcPr>
          <w:p w:rsidR="00887E4E" w:rsidRPr="00DF0C93" w:rsidRDefault="00887E4E" w:rsidP="00F81568">
            <w:pPr>
              <w:ind w:left="176" w:right="142"/>
              <w:jc w:val="both"/>
            </w:pPr>
            <w:r w:rsidRPr="00DF0C93">
              <w:t>Non-Human Primate</w:t>
            </w:r>
          </w:p>
        </w:tc>
      </w:tr>
      <w:tr w:rsidR="00887E4E" w:rsidRPr="00DF0C93" w:rsidTr="00F81568">
        <w:trPr>
          <w:trHeight w:val="369"/>
        </w:trPr>
        <w:tc>
          <w:tcPr>
            <w:tcW w:w="5387" w:type="dxa"/>
            <w:tcBorders>
              <w:top w:val="single" w:sz="5" w:space="0" w:color="000000"/>
              <w:left w:val="single" w:sz="5" w:space="0" w:color="000000"/>
              <w:bottom w:val="single" w:sz="5" w:space="0" w:color="000000"/>
              <w:right w:val="single" w:sz="5" w:space="0" w:color="000000"/>
            </w:tcBorders>
            <w:vAlign w:val="center"/>
          </w:tcPr>
          <w:p w:rsidR="00887E4E" w:rsidRPr="00DF0C93" w:rsidRDefault="00B62ECA" w:rsidP="00F81568">
            <w:pPr>
              <w:ind w:left="176" w:right="142"/>
              <w:jc w:val="both"/>
            </w:pPr>
            <w:r>
              <w:t>P</w:t>
            </w:r>
            <w:r w:rsidR="00887E4E" w:rsidRPr="00DF0C93">
              <w:t>rimary monkey kidney cells</w:t>
            </w:r>
            <w:r w:rsidR="00887E4E">
              <w:rPr>
                <w:rStyle w:val="FootnoteReference"/>
                <w:rFonts w:ascii="Arial" w:eastAsia="Arial" w:hAnsi="Arial" w:cs="Arial"/>
              </w:rPr>
              <w:footnoteReference w:id="3"/>
            </w:r>
          </w:p>
        </w:tc>
        <w:tc>
          <w:tcPr>
            <w:tcW w:w="3685" w:type="dxa"/>
            <w:tcBorders>
              <w:top w:val="single" w:sz="5" w:space="0" w:color="000000"/>
              <w:left w:val="single" w:sz="5" w:space="0" w:color="000000"/>
              <w:bottom w:val="single" w:sz="5" w:space="0" w:color="000000"/>
              <w:right w:val="single" w:sz="5" w:space="0" w:color="000000"/>
            </w:tcBorders>
            <w:vAlign w:val="center"/>
          </w:tcPr>
          <w:p w:rsidR="00887E4E" w:rsidRPr="00DF0C93" w:rsidRDefault="00887E4E" w:rsidP="00F81568">
            <w:pPr>
              <w:ind w:left="176" w:right="142"/>
              <w:jc w:val="both"/>
            </w:pPr>
            <w:r w:rsidRPr="00DF0C93">
              <w:t>Non-Human Primate</w:t>
            </w:r>
          </w:p>
        </w:tc>
      </w:tr>
      <w:tr w:rsidR="00887E4E" w:rsidRPr="00DF0C93" w:rsidTr="00F81568">
        <w:trPr>
          <w:trHeight w:val="369"/>
        </w:trPr>
        <w:tc>
          <w:tcPr>
            <w:tcW w:w="5387" w:type="dxa"/>
            <w:tcBorders>
              <w:top w:val="single" w:sz="5" w:space="0" w:color="000000"/>
              <w:left w:val="single" w:sz="5" w:space="0" w:color="000000"/>
              <w:bottom w:val="single" w:sz="5" w:space="0" w:color="000000"/>
              <w:right w:val="single" w:sz="5" w:space="0" w:color="000000"/>
            </w:tcBorders>
            <w:vAlign w:val="center"/>
          </w:tcPr>
          <w:p w:rsidR="00887E4E" w:rsidRPr="00DF0C93" w:rsidRDefault="00887E4E" w:rsidP="00F81568">
            <w:pPr>
              <w:ind w:left="176" w:right="142"/>
              <w:jc w:val="both"/>
            </w:pPr>
            <w:r w:rsidRPr="00DF0C93">
              <w:t>L20B</w:t>
            </w:r>
          </w:p>
        </w:tc>
        <w:tc>
          <w:tcPr>
            <w:tcW w:w="3685" w:type="dxa"/>
            <w:tcBorders>
              <w:top w:val="single" w:sz="5" w:space="0" w:color="000000"/>
              <w:left w:val="single" w:sz="5" w:space="0" w:color="000000"/>
              <w:bottom w:val="single" w:sz="5" w:space="0" w:color="000000"/>
              <w:right w:val="single" w:sz="5" w:space="0" w:color="000000"/>
            </w:tcBorders>
            <w:vAlign w:val="center"/>
          </w:tcPr>
          <w:p w:rsidR="00887E4E" w:rsidRPr="00DF0C93" w:rsidRDefault="00887E4E" w:rsidP="00F81568">
            <w:pPr>
              <w:ind w:left="176" w:right="142"/>
              <w:jc w:val="both"/>
            </w:pPr>
            <w:r w:rsidRPr="00DF0C93">
              <w:t>Mouse</w:t>
            </w:r>
            <w:r>
              <w:rPr>
                <w:rStyle w:val="FootnoteReference"/>
                <w:rFonts w:ascii="Arial" w:eastAsia="Arial" w:hAnsi="Arial" w:cs="Arial"/>
              </w:rPr>
              <w:footnoteReference w:id="4"/>
            </w:r>
          </w:p>
        </w:tc>
      </w:tr>
      <w:tr w:rsidR="00887E4E" w:rsidRPr="00DF0C93" w:rsidTr="00F81568">
        <w:trPr>
          <w:trHeight w:val="369"/>
        </w:trPr>
        <w:tc>
          <w:tcPr>
            <w:tcW w:w="5387" w:type="dxa"/>
            <w:tcBorders>
              <w:top w:val="single" w:sz="5" w:space="0" w:color="000000"/>
              <w:left w:val="single" w:sz="5" w:space="0" w:color="000000"/>
              <w:bottom w:val="single" w:sz="5" w:space="0" w:color="000000"/>
              <w:right w:val="single" w:sz="5" w:space="0" w:color="000000"/>
            </w:tcBorders>
            <w:vAlign w:val="center"/>
          </w:tcPr>
          <w:p w:rsidR="00887E4E" w:rsidRPr="00DF0C93" w:rsidRDefault="00887E4E" w:rsidP="00F81568">
            <w:pPr>
              <w:ind w:left="176" w:right="142"/>
              <w:jc w:val="both"/>
            </w:pPr>
            <w:r w:rsidRPr="00DF0C93">
              <w:t>Lα</w:t>
            </w:r>
          </w:p>
        </w:tc>
        <w:tc>
          <w:tcPr>
            <w:tcW w:w="3685" w:type="dxa"/>
            <w:tcBorders>
              <w:top w:val="single" w:sz="5" w:space="0" w:color="000000"/>
              <w:left w:val="single" w:sz="5" w:space="0" w:color="000000"/>
              <w:bottom w:val="single" w:sz="5" w:space="0" w:color="000000"/>
              <w:right w:val="single" w:sz="5" w:space="0" w:color="000000"/>
            </w:tcBorders>
            <w:vAlign w:val="center"/>
          </w:tcPr>
          <w:p w:rsidR="00887E4E" w:rsidRPr="00DF0C93" w:rsidRDefault="00887E4E" w:rsidP="00F81568">
            <w:pPr>
              <w:ind w:left="176" w:right="142"/>
              <w:jc w:val="both"/>
            </w:pPr>
            <w:r>
              <w:t>Mouse</w:t>
            </w:r>
          </w:p>
        </w:tc>
      </w:tr>
      <w:tr w:rsidR="00887E4E" w:rsidRPr="00DF0C93" w:rsidTr="00F81568">
        <w:trPr>
          <w:trHeight w:val="369"/>
        </w:trPr>
        <w:tc>
          <w:tcPr>
            <w:tcW w:w="5387" w:type="dxa"/>
            <w:tcBorders>
              <w:top w:val="single" w:sz="5" w:space="0" w:color="000000"/>
              <w:left w:val="single" w:sz="5" w:space="0" w:color="000000"/>
              <w:bottom w:val="single" w:sz="5" w:space="0" w:color="000000"/>
              <w:right w:val="single" w:sz="5" w:space="0" w:color="000000"/>
            </w:tcBorders>
            <w:vAlign w:val="center"/>
          </w:tcPr>
          <w:p w:rsidR="00887E4E" w:rsidRPr="00DF0C93" w:rsidRDefault="00B62ECA" w:rsidP="00602C97">
            <w:pPr>
              <w:ind w:left="176" w:right="142"/>
              <w:jc w:val="both"/>
            </w:pPr>
            <w:r>
              <w:t xml:space="preserve">Super </w:t>
            </w:r>
            <w:r w:rsidR="00887E4E" w:rsidRPr="00DF0C93">
              <w:t>E-M</w:t>
            </w:r>
            <w:r>
              <w:t>ix</w:t>
            </w:r>
          </w:p>
        </w:tc>
        <w:tc>
          <w:tcPr>
            <w:tcW w:w="3685" w:type="dxa"/>
            <w:tcBorders>
              <w:top w:val="single" w:sz="5" w:space="0" w:color="000000"/>
              <w:left w:val="single" w:sz="5" w:space="0" w:color="000000"/>
              <w:bottom w:val="single" w:sz="5" w:space="0" w:color="000000"/>
              <w:right w:val="single" w:sz="5" w:space="0" w:color="000000"/>
            </w:tcBorders>
            <w:vAlign w:val="center"/>
          </w:tcPr>
          <w:p w:rsidR="00887E4E" w:rsidRPr="00DF0C93" w:rsidRDefault="00887E4E" w:rsidP="00F81568">
            <w:pPr>
              <w:ind w:left="176" w:right="142"/>
              <w:jc w:val="both"/>
            </w:pPr>
            <w:r w:rsidRPr="00DF0C93">
              <w:t>Hybrid; mixture of cell lines</w:t>
            </w:r>
          </w:p>
        </w:tc>
      </w:tr>
      <w:tr w:rsidR="00887E4E" w:rsidRPr="00DF0C93" w:rsidTr="00F81568">
        <w:trPr>
          <w:trHeight w:val="369"/>
        </w:trPr>
        <w:tc>
          <w:tcPr>
            <w:tcW w:w="5387" w:type="dxa"/>
            <w:tcBorders>
              <w:top w:val="single" w:sz="5" w:space="0" w:color="000000"/>
              <w:left w:val="single" w:sz="5" w:space="0" w:color="000000"/>
              <w:bottom w:val="single" w:sz="5" w:space="0" w:color="000000"/>
              <w:right w:val="single" w:sz="5" w:space="0" w:color="000000"/>
            </w:tcBorders>
            <w:vAlign w:val="center"/>
          </w:tcPr>
          <w:p w:rsidR="00887E4E" w:rsidRPr="00DF0C93" w:rsidRDefault="00887E4E" w:rsidP="00602C97">
            <w:pPr>
              <w:ind w:left="176" w:right="142"/>
              <w:jc w:val="both"/>
            </w:pPr>
            <w:r w:rsidRPr="00DF0C93">
              <w:t>R-M</w:t>
            </w:r>
            <w:r w:rsidR="00B62ECA">
              <w:t>ix</w:t>
            </w:r>
          </w:p>
        </w:tc>
        <w:tc>
          <w:tcPr>
            <w:tcW w:w="3685" w:type="dxa"/>
            <w:tcBorders>
              <w:top w:val="single" w:sz="5" w:space="0" w:color="000000"/>
              <w:left w:val="single" w:sz="5" w:space="0" w:color="000000"/>
              <w:bottom w:val="single" w:sz="5" w:space="0" w:color="000000"/>
              <w:right w:val="single" w:sz="5" w:space="0" w:color="000000"/>
            </w:tcBorders>
            <w:vAlign w:val="center"/>
          </w:tcPr>
          <w:p w:rsidR="00887E4E" w:rsidRPr="00DF0C93" w:rsidRDefault="00887E4E" w:rsidP="00F81568">
            <w:pPr>
              <w:ind w:left="176" w:right="142"/>
              <w:jc w:val="both"/>
            </w:pPr>
            <w:r w:rsidRPr="00DF0C93">
              <w:t>Hybrid; mixture of cell lines</w:t>
            </w:r>
          </w:p>
        </w:tc>
      </w:tr>
    </w:tbl>
    <w:p w:rsidR="00AD0DC8" w:rsidRDefault="00AD0DC8" w:rsidP="00602C97">
      <w:pPr>
        <w:spacing w:line="240" w:lineRule="auto"/>
        <w:ind w:left="720"/>
        <w:rPr>
          <w:b/>
          <w:sz w:val="28"/>
          <w:szCs w:val="28"/>
        </w:rPr>
      </w:pPr>
    </w:p>
    <w:p w:rsidR="003E11BD" w:rsidRDefault="003E11BD">
      <w:pPr>
        <w:rPr>
          <w:b/>
          <w:sz w:val="28"/>
          <w:szCs w:val="28"/>
        </w:rPr>
      </w:pPr>
      <w:r>
        <w:rPr>
          <w:b/>
          <w:sz w:val="28"/>
          <w:szCs w:val="28"/>
        </w:rPr>
        <w:br w:type="page"/>
      </w:r>
    </w:p>
    <w:p w:rsidR="001439D1" w:rsidRDefault="00010ED3" w:rsidP="006F42BD">
      <w:pPr>
        <w:pStyle w:val="Heading1"/>
      </w:pPr>
      <w:bookmarkStart w:id="24" w:name="_Toc492292905"/>
      <w:r>
        <w:lastRenderedPageBreak/>
        <w:t xml:space="preserve">Annex </w:t>
      </w:r>
      <w:r w:rsidR="000E0DBF">
        <w:t>3</w:t>
      </w:r>
      <w:r w:rsidR="001439D1">
        <w:t>: Country and Territory-specific poliovirus data</w:t>
      </w:r>
      <w:bookmarkEnd w:id="24"/>
    </w:p>
    <w:p w:rsidR="006F42BD" w:rsidRDefault="006F42BD" w:rsidP="001439D1">
      <w:pPr>
        <w:jc w:val="both"/>
        <w:rPr>
          <w:sz w:val="24"/>
        </w:rPr>
      </w:pPr>
    </w:p>
    <w:p w:rsidR="001439D1" w:rsidRPr="00602C97" w:rsidRDefault="001439D1" w:rsidP="001439D1">
      <w:pPr>
        <w:jc w:val="both"/>
        <w:rPr>
          <w:sz w:val="24"/>
        </w:rPr>
      </w:pPr>
      <w:r w:rsidRPr="00602C97">
        <w:rPr>
          <w:sz w:val="24"/>
        </w:rPr>
        <w:t>The guidance provided in this document is based on a collection of reported data from 223</w:t>
      </w:r>
      <w:r w:rsidRPr="00602C97">
        <w:rPr>
          <w:rStyle w:val="FootnoteReference"/>
          <w:sz w:val="24"/>
        </w:rPr>
        <w:footnoteReference w:id="5"/>
      </w:r>
      <w:r w:rsidRPr="00602C97">
        <w:rPr>
          <w:sz w:val="24"/>
        </w:rPr>
        <w:t xml:space="preserve"> countries and territories addressing the following parameters:</w:t>
      </w:r>
    </w:p>
    <w:p w:rsidR="001439D1" w:rsidRPr="00602C97" w:rsidRDefault="001439D1" w:rsidP="002D4ABB">
      <w:pPr>
        <w:pStyle w:val="Heading3"/>
        <w:numPr>
          <w:ilvl w:val="0"/>
          <w:numId w:val="31"/>
        </w:numPr>
      </w:pPr>
      <w:bookmarkStart w:id="25" w:name="_Toc492292906"/>
      <w:r w:rsidRPr="00602C97">
        <w:t>To support the completion of the 1</w:t>
      </w:r>
      <w:r w:rsidRPr="00602C97">
        <w:rPr>
          <w:vertAlign w:val="superscript"/>
        </w:rPr>
        <w:t>st</w:t>
      </w:r>
      <w:r w:rsidRPr="00602C97">
        <w:t xml:space="preserve"> part of Phase I of GAPIII (WPV2/VDPV2)</w:t>
      </w:r>
      <w:bookmarkEnd w:id="25"/>
    </w:p>
    <w:p w:rsidR="001439D1" w:rsidRPr="00602C97" w:rsidRDefault="001439D1" w:rsidP="00602C97">
      <w:pPr>
        <w:pStyle w:val="ListParagraph"/>
        <w:numPr>
          <w:ilvl w:val="0"/>
          <w:numId w:val="6"/>
        </w:numPr>
        <w:spacing w:after="0" w:line="276" w:lineRule="auto"/>
        <w:ind w:left="1080"/>
        <w:rPr>
          <w:sz w:val="24"/>
        </w:rPr>
      </w:pPr>
      <w:r w:rsidRPr="00602C97">
        <w:rPr>
          <w:sz w:val="24"/>
        </w:rPr>
        <w:t xml:space="preserve">Year of last reported WPV2 </w:t>
      </w:r>
    </w:p>
    <w:p w:rsidR="001439D1" w:rsidRPr="00602C97" w:rsidRDefault="001439D1" w:rsidP="00602C97">
      <w:pPr>
        <w:pStyle w:val="ListParagraph"/>
        <w:numPr>
          <w:ilvl w:val="0"/>
          <w:numId w:val="6"/>
        </w:numPr>
        <w:spacing w:after="0" w:line="276" w:lineRule="auto"/>
        <w:ind w:left="1080"/>
        <w:rPr>
          <w:sz w:val="24"/>
        </w:rPr>
      </w:pPr>
      <w:r w:rsidRPr="00602C97">
        <w:rPr>
          <w:sz w:val="24"/>
        </w:rPr>
        <w:t xml:space="preserve">Month and Year of last reported cVDPV2 </w:t>
      </w:r>
    </w:p>
    <w:p w:rsidR="001439D1" w:rsidRPr="00602C97" w:rsidRDefault="001439D1" w:rsidP="00602C97">
      <w:pPr>
        <w:pStyle w:val="ListParagraph"/>
        <w:numPr>
          <w:ilvl w:val="0"/>
          <w:numId w:val="6"/>
        </w:numPr>
        <w:spacing w:after="0" w:line="276" w:lineRule="auto"/>
        <w:ind w:left="1080"/>
        <w:rPr>
          <w:sz w:val="24"/>
        </w:rPr>
      </w:pPr>
      <w:r w:rsidRPr="00602C97">
        <w:rPr>
          <w:sz w:val="24"/>
        </w:rPr>
        <w:t>Year of IPV introduction in routine immunization (RI)</w:t>
      </w:r>
    </w:p>
    <w:p w:rsidR="001439D1" w:rsidRPr="002D716D" w:rsidRDefault="008F0902" w:rsidP="001439D1">
      <w:r w:rsidRPr="002D716D">
        <w:rPr>
          <w:sz w:val="24"/>
          <w:szCs w:val="24"/>
        </w:rPr>
        <w:t>The last detection of WPV2 worldwide was in India in October 1999; however, the month and year of the last detection has not been accurately recorded for all countries. For this reason, the guidance systematically refers to December as the month of last detection of WPV2 for specimens collected during a specific year and</w:t>
      </w:r>
      <w:r w:rsidR="00B62ECA">
        <w:rPr>
          <w:sz w:val="24"/>
          <w:szCs w:val="24"/>
        </w:rPr>
        <w:t xml:space="preserve"> </w:t>
      </w:r>
      <w:r w:rsidRPr="002D716D">
        <w:rPr>
          <w:sz w:val="24"/>
          <w:szCs w:val="24"/>
        </w:rPr>
        <w:t>assigns 1999 as the year of last detection in a particular country if there was uncertainty surrounding the last reported case of WPV2.</w:t>
      </w:r>
    </w:p>
    <w:p w:rsidR="008F0902" w:rsidRPr="00D65CC8" w:rsidRDefault="008F0902" w:rsidP="008F0902">
      <w:pPr>
        <w:tabs>
          <w:tab w:val="left" w:pos="6780"/>
        </w:tabs>
        <w:rPr>
          <w:sz w:val="24"/>
          <w:szCs w:val="24"/>
        </w:rPr>
      </w:pPr>
      <w:r w:rsidRPr="002D716D">
        <w:rPr>
          <w:sz w:val="24"/>
          <w:szCs w:val="24"/>
        </w:rPr>
        <w:t xml:space="preserve">Surveillance activities have detected </w:t>
      </w:r>
      <w:proofErr w:type="spellStart"/>
      <w:r w:rsidRPr="002D716D">
        <w:rPr>
          <w:sz w:val="24"/>
          <w:szCs w:val="24"/>
        </w:rPr>
        <w:t>cVDPVs</w:t>
      </w:r>
      <w:proofErr w:type="spellEnd"/>
      <w:r w:rsidRPr="002D716D">
        <w:rPr>
          <w:sz w:val="24"/>
          <w:szCs w:val="24"/>
        </w:rPr>
        <w:t xml:space="preserve">, </w:t>
      </w:r>
      <w:proofErr w:type="spellStart"/>
      <w:r w:rsidRPr="002D716D">
        <w:rPr>
          <w:sz w:val="24"/>
          <w:szCs w:val="24"/>
        </w:rPr>
        <w:t>iVDPVs</w:t>
      </w:r>
      <w:proofErr w:type="spellEnd"/>
      <w:r w:rsidRPr="002D716D">
        <w:rPr>
          <w:sz w:val="24"/>
          <w:szCs w:val="24"/>
        </w:rPr>
        <w:t xml:space="preserve"> and ambiguous VDPVs (</w:t>
      </w:r>
      <w:proofErr w:type="spellStart"/>
      <w:r w:rsidRPr="002D716D">
        <w:rPr>
          <w:sz w:val="24"/>
          <w:szCs w:val="24"/>
        </w:rPr>
        <w:t>aVDPVs</w:t>
      </w:r>
      <w:proofErr w:type="spellEnd"/>
      <w:r w:rsidRPr="002D716D">
        <w:rPr>
          <w:sz w:val="24"/>
          <w:szCs w:val="24"/>
        </w:rPr>
        <w:t xml:space="preserve">); </w:t>
      </w:r>
      <w:proofErr w:type="spellStart"/>
      <w:r w:rsidRPr="002D716D">
        <w:rPr>
          <w:sz w:val="24"/>
          <w:szCs w:val="24"/>
        </w:rPr>
        <w:t>aVDPVs</w:t>
      </w:r>
      <w:proofErr w:type="spellEnd"/>
      <w:r w:rsidRPr="002D716D">
        <w:rPr>
          <w:sz w:val="24"/>
          <w:szCs w:val="24"/>
        </w:rPr>
        <w:t xml:space="preserve"> are isolated from people without a known immunodeficiency or from environmental samples (e.g. sewage) </w:t>
      </w:r>
      <w:r w:rsidR="00B62ECA">
        <w:rPr>
          <w:sz w:val="24"/>
          <w:szCs w:val="24"/>
        </w:rPr>
        <w:t>with unknown human</w:t>
      </w:r>
      <w:r w:rsidRPr="002D716D">
        <w:rPr>
          <w:sz w:val="24"/>
          <w:szCs w:val="24"/>
        </w:rPr>
        <w:t xml:space="preserve"> source</w:t>
      </w:r>
      <w:r w:rsidR="00B62ECA">
        <w:rPr>
          <w:sz w:val="24"/>
          <w:szCs w:val="24"/>
        </w:rPr>
        <w:t>, neither of which is genetically linked to another VDPV</w:t>
      </w:r>
      <w:r w:rsidRPr="002D716D">
        <w:rPr>
          <w:sz w:val="24"/>
          <w:szCs w:val="24"/>
        </w:rPr>
        <w:t xml:space="preserve">. This guidance only refers to the date of the last cVDPV2 reported for each country and territory, and does not consider </w:t>
      </w:r>
      <w:proofErr w:type="spellStart"/>
      <w:r w:rsidRPr="002D716D">
        <w:rPr>
          <w:sz w:val="24"/>
          <w:szCs w:val="24"/>
        </w:rPr>
        <w:t>iVDPV</w:t>
      </w:r>
      <w:proofErr w:type="spellEnd"/>
      <w:r w:rsidRPr="002D716D">
        <w:rPr>
          <w:sz w:val="24"/>
          <w:szCs w:val="24"/>
        </w:rPr>
        <w:t xml:space="preserve"> and </w:t>
      </w:r>
      <w:proofErr w:type="spellStart"/>
      <w:r w:rsidRPr="002D716D">
        <w:rPr>
          <w:sz w:val="24"/>
          <w:szCs w:val="24"/>
        </w:rPr>
        <w:t>aVDPV</w:t>
      </w:r>
      <w:proofErr w:type="spellEnd"/>
      <w:r w:rsidRPr="002D716D">
        <w:rPr>
          <w:sz w:val="24"/>
          <w:szCs w:val="24"/>
        </w:rPr>
        <w:t>.</w:t>
      </w:r>
      <w:r w:rsidRPr="00D65CC8">
        <w:rPr>
          <w:sz w:val="24"/>
          <w:szCs w:val="24"/>
        </w:rPr>
        <w:t xml:space="preserve"> </w:t>
      </w:r>
    </w:p>
    <w:p w:rsidR="001439D1" w:rsidRDefault="001439D1" w:rsidP="002D4ABB">
      <w:pPr>
        <w:pStyle w:val="Heading3"/>
        <w:numPr>
          <w:ilvl w:val="0"/>
          <w:numId w:val="31"/>
        </w:numPr>
      </w:pPr>
      <w:bookmarkStart w:id="26" w:name="_Toc492292907"/>
      <w:r>
        <w:t>To support the comple</w:t>
      </w:r>
      <w:r w:rsidRPr="005F293C">
        <w:t xml:space="preserve">tion of </w:t>
      </w:r>
      <w:r w:rsidR="00B62ECA">
        <w:t xml:space="preserve">the </w:t>
      </w:r>
      <w:r>
        <w:t>2</w:t>
      </w:r>
      <w:r w:rsidRPr="002D4ABB">
        <w:t>nd</w:t>
      </w:r>
      <w:r>
        <w:t xml:space="preserve"> part</w:t>
      </w:r>
      <w:r w:rsidRPr="005F293C">
        <w:t xml:space="preserve"> of Phase I of GAPIII (</w:t>
      </w:r>
      <w:r>
        <w:t>OPV2</w:t>
      </w:r>
      <w:r w:rsidRPr="005F293C">
        <w:t>/</w:t>
      </w:r>
      <w:r>
        <w:t>Sabin2</w:t>
      </w:r>
      <w:r w:rsidRPr="005F293C">
        <w:t>)</w:t>
      </w:r>
      <w:bookmarkEnd w:id="26"/>
    </w:p>
    <w:p w:rsidR="001439D1" w:rsidRDefault="001439D1" w:rsidP="00602C97">
      <w:pPr>
        <w:pStyle w:val="ListParagraph"/>
        <w:numPr>
          <w:ilvl w:val="0"/>
          <w:numId w:val="10"/>
        </w:numPr>
        <w:spacing w:after="0" w:line="276" w:lineRule="auto"/>
      </w:pPr>
      <w:proofErr w:type="spellStart"/>
      <w:r>
        <w:t>tOPV</w:t>
      </w:r>
      <w:proofErr w:type="spellEnd"/>
      <w:r>
        <w:t xml:space="preserve"> use in RI</w:t>
      </w:r>
    </w:p>
    <w:p w:rsidR="001439D1" w:rsidRDefault="001439D1" w:rsidP="00602C97">
      <w:pPr>
        <w:pStyle w:val="ListParagraph"/>
        <w:numPr>
          <w:ilvl w:val="0"/>
          <w:numId w:val="9"/>
        </w:numPr>
        <w:spacing w:after="0" w:line="276" w:lineRule="auto"/>
        <w:ind w:left="1800"/>
      </w:pPr>
      <w:r>
        <w:t xml:space="preserve">Year of </w:t>
      </w:r>
      <w:proofErr w:type="spellStart"/>
      <w:r>
        <w:t>tOPV</w:t>
      </w:r>
      <w:proofErr w:type="spellEnd"/>
      <w:r>
        <w:t xml:space="preserve"> introduction </w:t>
      </w:r>
    </w:p>
    <w:p w:rsidR="001439D1" w:rsidRDefault="001439D1" w:rsidP="00602C97">
      <w:pPr>
        <w:pStyle w:val="ListParagraph"/>
        <w:numPr>
          <w:ilvl w:val="0"/>
          <w:numId w:val="9"/>
        </w:numPr>
        <w:spacing w:after="0" w:line="276" w:lineRule="auto"/>
        <w:ind w:left="1800"/>
      </w:pPr>
      <w:r>
        <w:t xml:space="preserve">Month and year of last </w:t>
      </w:r>
      <w:proofErr w:type="spellStart"/>
      <w:r>
        <w:t>tOPV</w:t>
      </w:r>
      <w:proofErr w:type="spellEnd"/>
      <w:r>
        <w:t xml:space="preserve"> use</w:t>
      </w:r>
    </w:p>
    <w:p w:rsidR="001439D1" w:rsidRDefault="001439D1" w:rsidP="00602C97">
      <w:pPr>
        <w:pStyle w:val="ListParagraph"/>
        <w:numPr>
          <w:ilvl w:val="0"/>
          <w:numId w:val="9"/>
        </w:numPr>
        <w:spacing w:after="0" w:line="276" w:lineRule="auto"/>
        <w:ind w:left="1800"/>
      </w:pPr>
      <w:r>
        <w:t>Targeted age groups (</w:t>
      </w:r>
      <w:proofErr w:type="spellStart"/>
      <w:r>
        <w:t>tOPV</w:t>
      </w:r>
      <w:proofErr w:type="spellEnd"/>
      <w:r>
        <w:t xml:space="preserve"> EPI schedule: age at first dose – age at last dose)</w:t>
      </w:r>
    </w:p>
    <w:p w:rsidR="001439D1" w:rsidRDefault="001439D1" w:rsidP="00602C97">
      <w:pPr>
        <w:pStyle w:val="ListParagraph"/>
        <w:numPr>
          <w:ilvl w:val="0"/>
          <w:numId w:val="10"/>
        </w:numPr>
        <w:spacing w:after="0" w:line="276" w:lineRule="auto"/>
      </w:pPr>
      <w:r>
        <w:t>Pre-</w:t>
      </w:r>
      <w:proofErr w:type="spellStart"/>
      <w:r w:rsidR="00FA335C">
        <w:t>tOPV</w:t>
      </w:r>
      <w:proofErr w:type="spellEnd"/>
      <w:r w:rsidR="00FA335C">
        <w:t>-</w:t>
      </w:r>
      <w:r>
        <w:t xml:space="preserve">cessation SIA using </w:t>
      </w:r>
      <w:proofErr w:type="spellStart"/>
      <w:r>
        <w:t>tOPV</w:t>
      </w:r>
      <w:proofErr w:type="spellEnd"/>
      <w:r>
        <w:t xml:space="preserve"> in countries with </w:t>
      </w:r>
      <w:proofErr w:type="spellStart"/>
      <w:r>
        <w:t>tOPV</w:t>
      </w:r>
      <w:proofErr w:type="spellEnd"/>
      <w:r>
        <w:t xml:space="preserve"> in RI </w:t>
      </w:r>
    </w:p>
    <w:p w:rsidR="001439D1" w:rsidRDefault="001439D1" w:rsidP="00602C97">
      <w:pPr>
        <w:pStyle w:val="ListParagraph"/>
        <w:numPr>
          <w:ilvl w:val="0"/>
          <w:numId w:val="8"/>
        </w:numPr>
        <w:spacing w:after="0" w:line="276" w:lineRule="auto"/>
        <w:ind w:left="1800"/>
      </w:pPr>
      <w:r>
        <w:t xml:space="preserve">Month and year of SIA using </w:t>
      </w:r>
      <w:proofErr w:type="spellStart"/>
      <w:r>
        <w:t>tOPV</w:t>
      </w:r>
      <w:proofErr w:type="spellEnd"/>
    </w:p>
    <w:p w:rsidR="001439D1" w:rsidRDefault="001439D1" w:rsidP="00602C97">
      <w:pPr>
        <w:pStyle w:val="ListParagraph"/>
        <w:numPr>
          <w:ilvl w:val="0"/>
          <w:numId w:val="8"/>
        </w:numPr>
        <w:spacing w:after="0" w:line="276" w:lineRule="auto"/>
        <w:ind w:left="1800"/>
      </w:pPr>
      <w:r>
        <w:t>Highest age groups targeted</w:t>
      </w:r>
    </w:p>
    <w:p w:rsidR="001439D1" w:rsidRDefault="001439D1" w:rsidP="00602C97">
      <w:pPr>
        <w:pStyle w:val="ListParagraph"/>
        <w:numPr>
          <w:ilvl w:val="0"/>
          <w:numId w:val="10"/>
        </w:numPr>
        <w:spacing w:after="0" w:line="276" w:lineRule="auto"/>
      </w:pPr>
      <w:r>
        <w:t>Post-</w:t>
      </w:r>
      <w:proofErr w:type="spellStart"/>
      <w:r w:rsidR="00FA335C">
        <w:t>tOPV</w:t>
      </w:r>
      <w:proofErr w:type="spellEnd"/>
      <w:r w:rsidR="00FA335C">
        <w:t>-</w:t>
      </w:r>
      <w:r>
        <w:t xml:space="preserve">cessation SIA using </w:t>
      </w:r>
      <w:proofErr w:type="spellStart"/>
      <w:r>
        <w:t>tOPV</w:t>
      </w:r>
      <w:proofErr w:type="spellEnd"/>
      <w:r>
        <w:t xml:space="preserve"> in countries that previously used </w:t>
      </w:r>
      <w:proofErr w:type="spellStart"/>
      <w:r>
        <w:t>tOPV</w:t>
      </w:r>
      <w:proofErr w:type="spellEnd"/>
      <w:r>
        <w:t xml:space="preserve"> in RI </w:t>
      </w:r>
    </w:p>
    <w:p w:rsidR="001439D1" w:rsidRDefault="001439D1" w:rsidP="00602C97">
      <w:pPr>
        <w:pStyle w:val="ListParagraph"/>
        <w:numPr>
          <w:ilvl w:val="1"/>
          <w:numId w:val="7"/>
        </w:numPr>
        <w:spacing w:after="0" w:line="276" w:lineRule="auto"/>
        <w:ind w:left="1800"/>
      </w:pPr>
      <w:r>
        <w:t>SIA start – SIA end dates</w:t>
      </w:r>
    </w:p>
    <w:p w:rsidR="001439D1" w:rsidRDefault="001439D1" w:rsidP="00602C97">
      <w:pPr>
        <w:pStyle w:val="ListParagraph"/>
        <w:numPr>
          <w:ilvl w:val="1"/>
          <w:numId w:val="7"/>
        </w:numPr>
        <w:spacing w:after="0" w:line="276" w:lineRule="auto"/>
        <w:ind w:left="1800"/>
      </w:pPr>
      <w:r>
        <w:t>Target age groups</w:t>
      </w:r>
    </w:p>
    <w:p w:rsidR="001439D1" w:rsidRDefault="001439D1" w:rsidP="00602C97">
      <w:pPr>
        <w:pStyle w:val="ListParagraph"/>
        <w:numPr>
          <w:ilvl w:val="0"/>
          <w:numId w:val="10"/>
        </w:numPr>
        <w:spacing w:after="0" w:line="276" w:lineRule="auto"/>
      </w:pPr>
      <w:r>
        <w:t>Post-</w:t>
      </w:r>
      <w:proofErr w:type="spellStart"/>
      <w:r w:rsidR="00FA335C">
        <w:t>tOPV</w:t>
      </w:r>
      <w:proofErr w:type="spellEnd"/>
      <w:r w:rsidR="00FA335C">
        <w:t>-</w:t>
      </w:r>
      <w:r>
        <w:t xml:space="preserve">cessation SIA using mOPV2 in countries responding to, or at risk of, a PV2 event or outbreak. </w:t>
      </w:r>
    </w:p>
    <w:p w:rsidR="001439D1" w:rsidRDefault="001439D1" w:rsidP="00602C97">
      <w:pPr>
        <w:pStyle w:val="ListParagraph"/>
        <w:numPr>
          <w:ilvl w:val="1"/>
          <w:numId w:val="10"/>
        </w:numPr>
        <w:spacing w:after="0" w:line="276" w:lineRule="auto"/>
      </w:pPr>
      <w:r>
        <w:t>SIA start – SIA end dates</w:t>
      </w:r>
    </w:p>
    <w:p w:rsidR="004C1DF1" w:rsidRDefault="001439D1">
      <w:pPr>
        <w:pStyle w:val="ListParagraph"/>
        <w:numPr>
          <w:ilvl w:val="1"/>
          <w:numId w:val="10"/>
        </w:numPr>
        <w:spacing w:after="0" w:line="276" w:lineRule="auto"/>
      </w:pPr>
      <w:r>
        <w:t>Target age groups</w:t>
      </w:r>
    </w:p>
    <w:p w:rsidR="002D4ABB" w:rsidRDefault="002D4ABB" w:rsidP="002D4ABB">
      <w:pPr>
        <w:spacing w:after="0" w:line="276" w:lineRule="auto"/>
      </w:pPr>
    </w:p>
    <w:p w:rsidR="00547638" w:rsidRDefault="00547638" w:rsidP="002D4ABB">
      <w:pPr>
        <w:spacing w:after="0" w:line="276" w:lineRule="auto"/>
        <w:sectPr w:rsidR="00547638" w:rsidSect="00602C97">
          <w:pgSz w:w="11906" w:h="16838" w:code="9"/>
          <w:pgMar w:top="1138" w:right="1138" w:bottom="1138" w:left="1138" w:header="504" w:footer="950" w:gutter="0"/>
          <w:cols w:space="720"/>
          <w:docGrid w:linePitch="326"/>
        </w:sect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2715"/>
        <w:gridCol w:w="2130"/>
        <w:gridCol w:w="1415"/>
        <w:gridCol w:w="1418"/>
        <w:gridCol w:w="1700"/>
        <w:gridCol w:w="1559"/>
        <w:gridCol w:w="1562"/>
        <w:gridCol w:w="1698"/>
      </w:tblGrid>
      <w:tr w:rsidR="00A90777" w:rsidRPr="00A90777" w:rsidTr="00547638">
        <w:trPr>
          <w:trHeight w:val="20"/>
          <w:tblHeader/>
        </w:trPr>
        <w:tc>
          <w:tcPr>
            <w:tcW w:w="174" w:type="pct"/>
            <w:shd w:val="clear" w:color="000000" w:fill="BFBFBF"/>
            <w:vAlign w:val="center"/>
            <w:hideMark/>
          </w:tcPr>
          <w:p w:rsidR="00547638" w:rsidRPr="00A90777" w:rsidRDefault="00547638" w:rsidP="00547638">
            <w:pPr>
              <w:spacing w:after="0" w:line="240" w:lineRule="auto"/>
              <w:jc w:val="center"/>
              <w:rPr>
                <w:rFonts w:eastAsia="Times New Roman" w:cs="Times New Roman"/>
                <w:b/>
                <w:bCs/>
                <w:sz w:val="21"/>
                <w:szCs w:val="21"/>
                <w:lang w:eastAsia="en-GB"/>
              </w:rPr>
            </w:pPr>
            <w:r w:rsidRPr="00A90777">
              <w:rPr>
                <w:noProof/>
                <w:lang w:eastAsia="zh-CN"/>
              </w:rPr>
              <w:lastRenderedPageBreak/>
              <mc:AlternateContent>
                <mc:Choice Requires="wps">
                  <w:drawing>
                    <wp:anchor distT="0" distB="0" distL="114300" distR="114300" simplePos="0" relativeHeight="251659264" behindDoc="0" locked="0" layoutInCell="1" allowOverlap="1" wp14:anchorId="5D87347C" wp14:editId="26F55A9B">
                      <wp:simplePos x="0" y="0"/>
                      <wp:positionH relativeFrom="column">
                        <wp:posOffset>5080</wp:posOffset>
                      </wp:positionH>
                      <wp:positionV relativeFrom="paragraph">
                        <wp:posOffset>-670560</wp:posOffset>
                      </wp:positionV>
                      <wp:extent cx="4519930" cy="275590"/>
                      <wp:effectExtent l="0" t="0" r="1397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275590"/>
                              </a:xfrm>
                              <a:prstGeom prst="rect">
                                <a:avLst/>
                              </a:prstGeom>
                              <a:solidFill>
                                <a:srgbClr val="FFFFFF"/>
                              </a:solidFill>
                              <a:ln w="9525">
                                <a:solidFill>
                                  <a:srgbClr val="000000"/>
                                </a:solidFill>
                                <a:miter lim="800000"/>
                                <a:headEnd/>
                                <a:tailEnd/>
                              </a:ln>
                            </wps:spPr>
                            <wps:txbx>
                              <w:txbxContent>
                                <w:p w:rsidR="00CE7D50" w:rsidRPr="005D454F" w:rsidRDefault="00CE7D50" w:rsidP="00547638">
                                  <w:pPr>
                                    <w:rPr>
                                      <w:sz w:val="21"/>
                                      <w:szCs w:val="21"/>
                                    </w:rPr>
                                  </w:pPr>
                                  <w:r w:rsidRPr="005D454F">
                                    <w:rPr>
                                      <w:sz w:val="21"/>
                                      <w:szCs w:val="21"/>
                                    </w:rPr>
                                    <w:t>Data in the table that follows is updated as of 4 September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52.8pt;width:355.9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">
                      <v:textbox>
                        <w:txbxContent>
                          <w:p w:rsidR="00CE7D50" w:rsidRPr="005D454F" w:rsidRDefault="00CE7D50" w:rsidP="00547638">
                            <w:pPr>
                              <w:rPr>
                                <w:sz w:val="21"/>
                                <w:szCs w:val="21"/>
                              </w:rPr>
                            </w:pPr>
                            <w:r w:rsidRPr="005D454F">
                              <w:rPr>
                                <w:sz w:val="21"/>
                                <w:szCs w:val="21"/>
                              </w:rPr>
                              <w:t>Data in the table that follows is updated as of 4 September 2017</w:t>
                            </w:r>
                          </w:p>
                        </w:txbxContent>
                      </v:textbox>
                    </v:shape>
                  </w:pict>
                </mc:Fallback>
              </mc:AlternateContent>
            </w:r>
            <w:r w:rsidRPr="00A90777">
              <w:rPr>
                <w:rFonts w:eastAsia="Times New Roman" w:cs="Times New Roman"/>
                <w:b/>
                <w:bCs/>
                <w:sz w:val="21"/>
                <w:szCs w:val="21"/>
                <w:lang w:eastAsia="en-GB"/>
              </w:rPr>
              <w:t>No</w:t>
            </w:r>
          </w:p>
        </w:tc>
        <w:tc>
          <w:tcPr>
            <w:tcW w:w="923" w:type="pct"/>
            <w:shd w:val="clear" w:color="000000" w:fill="BFBFBF"/>
            <w:vAlign w:val="center"/>
            <w:hideMark/>
          </w:tcPr>
          <w:p w:rsidR="00547638" w:rsidRPr="00A90777" w:rsidRDefault="00547638" w:rsidP="00547638">
            <w:pPr>
              <w:spacing w:after="0" w:line="240" w:lineRule="auto"/>
              <w:rPr>
                <w:rFonts w:eastAsia="Times New Roman" w:cs="Times New Roman"/>
                <w:b/>
                <w:bCs/>
                <w:sz w:val="21"/>
                <w:szCs w:val="21"/>
                <w:lang w:eastAsia="en-GB"/>
              </w:rPr>
            </w:pPr>
            <w:r w:rsidRPr="00A90777">
              <w:rPr>
                <w:rFonts w:eastAsia="Times New Roman" w:cs="Times New Roman"/>
                <w:b/>
                <w:bCs/>
                <w:sz w:val="21"/>
                <w:szCs w:val="21"/>
                <w:lang w:eastAsia="en-GB"/>
              </w:rPr>
              <w:t xml:space="preserve">Country or territory </w:t>
            </w:r>
          </w:p>
        </w:tc>
        <w:tc>
          <w:tcPr>
            <w:tcW w:w="724" w:type="pct"/>
            <w:shd w:val="clear" w:color="000000" w:fill="BFBFBF"/>
            <w:vAlign w:val="center"/>
            <w:hideMark/>
          </w:tcPr>
          <w:p w:rsidR="00547638" w:rsidRPr="00A90777" w:rsidRDefault="00547638" w:rsidP="00547638">
            <w:pPr>
              <w:spacing w:after="0" w:line="240" w:lineRule="auto"/>
              <w:jc w:val="center"/>
              <w:rPr>
                <w:rFonts w:eastAsia="Times New Roman" w:cs="Times New Roman"/>
                <w:b/>
                <w:bCs/>
                <w:sz w:val="21"/>
                <w:szCs w:val="21"/>
                <w:lang w:eastAsia="en-GB"/>
              </w:rPr>
            </w:pPr>
            <w:r w:rsidRPr="00A90777">
              <w:rPr>
                <w:rFonts w:eastAsia="Times New Roman" w:cs="Times New Roman"/>
                <w:b/>
                <w:bCs/>
                <w:sz w:val="21"/>
                <w:szCs w:val="21"/>
                <w:lang w:eastAsia="en-GB"/>
              </w:rPr>
              <w:t xml:space="preserve">Last Reported WPV2 Virus </w:t>
            </w:r>
            <w:r w:rsidRPr="00A90777">
              <w:rPr>
                <w:rStyle w:val="FootnoteReference"/>
                <w:rFonts w:eastAsia="Times New Roman" w:cs="Times New Roman"/>
                <w:b/>
                <w:bCs/>
                <w:sz w:val="21"/>
                <w:szCs w:val="21"/>
                <w:lang w:eastAsia="en-GB"/>
              </w:rPr>
              <w:footnoteReference w:id="6"/>
            </w:r>
          </w:p>
        </w:tc>
        <w:tc>
          <w:tcPr>
            <w:tcW w:w="481" w:type="pct"/>
            <w:shd w:val="clear" w:color="000000" w:fill="BFBFBF"/>
            <w:vAlign w:val="center"/>
            <w:hideMark/>
          </w:tcPr>
          <w:p w:rsidR="00547638" w:rsidRPr="00A90777" w:rsidRDefault="00547638" w:rsidP="00547638">
            <w:pPr>
              <w:spacing w:after="0" w:line="240" w:lineRule="auto"/>
              <w:jc w:val="center"/>
              <w:rPr>
                <w:rFonts w:eastAsia="Times New Roman" w:cs="Times New Roman"/>
                <w:b/>
                <w:bCs/>
                <w:sz w:val="21"/>
                <w:szCs w:val="21"/>
                <w:lang w:eastAsia="en-GB"/>
              </w:rPr>
            </w:pPr>
            <w:r w:rsidRPr="00A90777">
              <w:rPr>
                <w:rFonts w:eastAsia="Times New Roman" w:cs="Times New Roman"/>
                <w:b/>
                <w:bCs/>
                <w:sz w:val="21"/>
                <w:szCs w:val="21"/>
                <w:lang w:eastAsia="en-GB"/>
              </w:rPr>
              <w:t xml:space="preserve">Year of </w:t>
            </w:r>
            <w:proofErr w:type="spellStart"/>
            <w:r w:rsidRPr="00A90777">
              <w:rPr>
                <w:rFonts w:eastAsia="Times New Roman" w:cs="Times New Roman"/>
                <w:b/>
                <w:bCs/>
                <w:sz w:val="21"/>
                <w:szCs w:val="21"/>
                <w:lang w:eastAsia="en-GB"/>
              </w:rPr>
              <w:t>tOPV</w:t>
            </w:r>
            <w:proofErr w:type="spellEnd"/>
            <w:r w:rsidRPr="00A90777">
              <w:rPr>
                <w:rFonts w:eastAsia="Times New Roman" w:cs="Times New Roman"/>
                <w:b/>
                <w:bCs/>
                <w:sz w:val="21"/>
                <w:szCs w:val="21"/>
                <w:lang w:eastAsia="en-GB"/>
              </w:rPr>
              <w:t xml:space="preserve"> Introduction</w:t>
            </w:r>
          </w:p>
        </w:tc>
        <w:tc>
          <w:tcPr>
            <w:tcW w:w="482" w:type="pct"/>
            <w:shd w:val="clear" w:color="000000" w:fill="BFBFBF"/>
            <w:vAlign w:val="center"/>
            <w:hideMark/>
          </w:tcPr>
          <w:p w:rsidR="00547638" w:rsidRPr="00A90777" w:rsidRDefault="00547638" w:rsidP="00547638">
            <w:pPr>
              <w:spacing w:after="0" w:line="240" w:lineRule="auto"/>
              <w:jc w:val="center"/>
              <w:rPr>
                <w:rFonts w:eastAsia="Times New Roman" w:cs="Times New Roman"/>
                <w:b/>
                <w:bCs/>
                <w:sz w:val="21"/>
                <w:szCs w:val="21"/>
                <w:lang w:eastAsia="en-GB"/>
              </w:rPr>
            </w:pPr>
            <w:r w:rsidRPr="00A90777">
              <w:rPr>
                <w:rFonts w:eastAsia="Times New Roman" w:cs="Times New Roman"/>
                <w:b/>
                <w:bCs/>
                <w:sz w:val="21"/>
                <w:szCs w:val="21"/>
                <w:lang w:eastAsia="en-GB"/>
              </w:rPr>
              <w:t>IPV Introduction</w:t>
            </w:r>
            <w:r w:rsidRPr="00A90777">
              <w:rPr>
                <w:rStyle w:val="FootnoteReference"/>
                <w:rFonts w:eastAsia="Times New Roman" w:cs="Times New Roman"/>
                <w:b/>
                <w:bCs/>
                <w:sz w:val="21"/>
                <w:szCs w:val="21"/>
                <w:lang w:eastAsia="en-GB"/>
              </w:rPr>
              <w:footnoteReference w:id="7"/>
            </w:r>
          </w:p>
        </w:tc>
        <w:tc>
          <w:tcPr>
            <w:tcW w:w="578" w:type="pct"/>
            <w:shd w:val="clear" w:color="000000" w:fill="BFBFBF"/>
            <w:vAlign w:val="center"/>
            <w:hideMark/>
          </w:tcPr>
          <w:p w:rsidR="00547638" w:rsidRPr="00A90777" w:rsidRDefault="00547638" w:rsidP="00547638">
            <w:pPr>
              <w:spacing w:after="0" w:line="240" w:lineRule="auto"/>
              <w:jc w:val="center"/>
              <w:rPr>
                <w:rFonts w:eastAsia="Times New Roman" w:cs="Times New Roman"/>
                <w:b/>
                <w:bCs/>
                <w:sz w:val="21"/>
                <w:szCs w:val="21"/>
                <w:lang w:eastAsia="en-GB"/>
              </w:rPr>
            </w:pPr>
            <w:r w:rsidRPr="00A90777">
              <w:rPr>
                <w:rFonts w:eastAsia="Times New Roman" w:cs="Times New Roman"/>
                <w:b/>
                <w:bCs/>
                <w:sz w:val="21"/>
                <w:szCs w:val="21"/>
                <w:lang w:eastAsia="en-GB"/>
              </w:rPr>
              <w:t xml:space="preserve">Last Reported cVDPV2 Virus </w:t>
            </w:r>
            <w:r w:rsidRPr="00A90777">
              <w:rPr>
                <w:rFonts w:eastAsia="Times New Roman" w:cs="Times New Roman"/>
                <w:b/>
                <w:bCs/>
                <w:sz w:val="21"/>
                <w:szCs w:val="21"/>
                <w:vertAlign w:val="superscript"/>
                <w:lang w:eastAsia="en-GB"/>
              </w:rPr>
              <w:t>4,</w:t>
            </w:r>
            <w:r w:rsidRPr="00A90777">
              <w:rPr>
                <w:rStyle w:val="FootnoteReference"/>
                <w:rFonts w:eastAsia="Times New Roman" w:cs="Times New Roman"/>
                <w:b/>
                <w:bCs/>
                <w:sz w:val="21"/>
                <w:szCs w:val="21"/>
                <w:lang w:eastAsia="en-GB"/>
              </w:rPr>
              <w:footnoteReference w:id="8"/>
            </w:r>
          </w:p>
        </w:tc>
        <w:tc>
          <w:tcPr>
            <w:tcW w:w="530" w:type="pct"/>
            <w:shd w:val="clear" w:color="000000" w:fill="BFBFBF"/>
            <w:vAlign w:val="center"/>
            <w:hideMark/>
          </w:tcPr>
          <w:p w:rsidR="00547638" w:rsidRPr="00A90777" w:rsidRDefault="00547638" w:rsidP="00547638">
            <w:pPr>
              <w:spacing w:after="0" w:line="240" w:lineRule="auto"/>
              <w:jc w:val="center"/>
              <w:rPr>
                <w:rFonts w:eastAsia="Times New Roman" w:cs="Times New Roman"/>
                <w:b/>
                <w:bCs/>
                <w:sz w:val="21"/>
                <w:szCs w:val="21"/>
                <w:lang w:eastAsia="en-GB"/>
              </w:rPr>
            </w:pPr>
            <w:r w:rsidRPr="00A90777">
              <w:rPr>
                <w:rFonts w:eastAsia="Times New Roman" w:cs="Times New Roman"/>
                <w:b/>
                <w:bCs/>
                <w:sz w:val="21"/>
                <w:szCs w:val="21"/>
                <w:lang w:eastAsia="en-GB"/>
              </w:rPr>
              <w:t xml:space="preserve">Last Use of </w:t>
            </w:r>
            <w:proofErr w:type="spellStart"/>
            <w:r w:rsidRPr="00A90777">
              <w:rPr>
                <w:rFonts w:eastAsia="Times New Roman" w:cs="Times New Roman"/>
                <w:b/>
                <w:bCs/>
                <w:sz w:val="21"/>
                <w:szCs w:val="21"/>
                <w:lang w:eastAsia="en-GB"/>
              </w:rPr>
              <w:t>tOPV</w:t>
            </w:r>
            <w:proofErr w:type="spellEnd"/>
            <w:r w:rsidRPr="00A90777">
              <w:rPr>
                <w:rFonts w:eastAsia="Times New Roman" w:cs="Times New Roman"/>
                <w:b/>
                <w:bCs/>
                <w:sz w:val="21"/>
                <w:szCs w:val="21"/>
                <w:lang w:eastAsia="en-GB"/>
              </w:rPr>
              <w:t xml:space="preserve"> in Routine Immunization</w:t>
            </w:r>
            <w:r w:rsidRPr="00A90777">
              <w:rPr>
                <w:rFonts w:eastAsia="Times New Roman" w:cs="Times New Roman"/>
                <w:b/>
                <w:bCs/>
                <w:sz w:val="21"/>
                <w:szCs w:val="21"/>
                <w:vertAlign w:val="superscript"/>
                <w:lang w:eastAsia="en-GB"/>
              </w:rPr>
              <w:t>5</w:t>
            </w:r>
            <w:r w:rsidRPr="00A90777">
              <w:rPr>
                <w:rFonts w:eastAsia="Times New Roman" w:cs="Times New Roman"/>
                <w:b/>
                <w:bCs/>
                <w:sz w:val="21"/>
                <w:szCs w:val="21"/>
                <w:lang w:eastAsia="en-GB"/>
              </w:rPr>
              <w:t xml:space="preserve"> </w:t>
            </w:r>
          </w:p>
        </w:tc>
        <w:tc>
          <w:tcPr>
            <w:tcW w:w="531" w:type="pct"/>
            <w:shd w:val="clear" w:color="000000" w:fill="BFBFBF"/>
            <w:vAlign w:val="center"/>
            <w:hideMark/>
          </w:tcPr>
          <w:p w:rsidR="00547638" w:rsidRPr="00A90777" w:rsidRDefault="00547638" w:rsidP="00547638">
            <w:pPr>
              <w:spacing w:after="0" w:line="240" w:lineRule="auto"/>
              <w:jc w:val="center"/>
              <w:rPr>
                <w:rFonts w:eastAsia="Times New Roman" w:cs="Times New Roman"/>
                <w:b/>
                <w:bCs/>
                <w:sz w:val="21"/>
                <w:szCs w:val="21"/>
                <w:lang w:eastAsia="en-GB"/>
              </w:rPr>
            </w:pPr>
            <w:proofErr w:type="spellStart"/>
            <w:r w:rsidRPr="00A90777">
              <w:rPr>
                <w:rFonts w:eastAsia="Times New Roman" w:cs="Times New Roman"/>
                <w:b/>
                <w:bCs/>
                <w:sz w:val="21"/>
                <w:szCs w:val="21"/>
                <w:lang w:eastAsia="en-GB"/>
              </w:rPr>
              <w:t>tOPV</w:t>
            </w:r>
            <w:proofErr w:type="spellEnd"/>
            <w:r w:rsidRPr="00A90777">
              <w:rPr>
                <w:rFonts w:eastAsia="Times New Roman" w:cs="Times New Roman"/>
                <w:b/>
                <w:bCs/>
                <w:sz w:val="21"/>
                <w:szCs w:val="21"/>
                <w:lang w:eastAsia="en-GB"/>
              </w:rPr>
              <w:t xml:space="preserve"> in an SIA after </w:t>
            </w:r>
            <w:proofErr w:type="spellStart"/>
            <w:r w:rsidRPr="00A90777">
              <w:rPr>
                <w:rFonts w:eastAsia="Times New Roman" w:cs="Times New Roman"/>
                <w:b/>
                <w:bCs/>
                <w:sz w:val="21"/>
                <w:szCs w:val="21"/>
                <w:lang w:eastAsia="en-GB"/>
              </w:rPr>
              <w:t>tOPV</w:t>
            </w:r>
            <w:proofErr w:type="spellEnd"/>
            <w:r w:rsidRPr="00A90777">
              <w:rPr>
                <w:rFonts w:eastAsia="Times New Roman" w:cs="Times New Roman"/>
                <w:b/>
                <w:bCs/>
                <w:sz w:val="21"/>
                <w:szCs w:val="21"/>
                <w:lang w:eastAsia="en-GB"/>
              </w:rPr>
              <w:t xml:space="preserve">-cessation in Routine Immunization </w:t>
            </w:r>
            <w:r w:rsidRPr="00A90777">
              <w:rPr>
                <w:rStyle w:val="FootnoteReference"/>
                <w:sz w:val="21"/>
                <w:szCs w:val="21"/>
              </w:rPr>
              <w:t>6</w:t>
            </w:r>
          </w:p>
        </w:tc>
        <w:tc>
          <w:tcPr>
            <w:tcW w:w="579" w:type="pct"/>
            <w:shd w:val="clear" w:color="000000" w:fill="BFBFBF"/>
            <w:vAlign w:val="center"/>
            <w:hideMark/>
          </w:tcPr>
          <w:p w:rsidR="00547638" w:rsidRPr="00A90777" w:rsidRDefault="00547638" w:rsidP="00547638">
            <w:pPr>
              <w:spacing w:after="0" w:line="240" w:lineRule="auto"/>
              <w:jc w:val="center"/>
              <w:rPr>
                <w:rFonts w:eastAsia="Times New Roman" w:cs="Times New Roman"/>
                <w:b/>
                <w:bCs/>
                <w:sz w:val="21"/>
                <w:szCs w:val="21"/>
                <w:lang w:eastAsia="en-GB"/>
              </w:rPr>
            </w:pPr>
            <w:r w:rsidRPr="00A90777">
              <w:rPr>
                <w:rFonts w:eastAsia="Times New Roman" w:cs="Times New Roman"/>
                <w:b/>
                <w:bCs/>
                <w:sz w:val="21"/>
                <w:szCs w:val="21"/>
                <w:lang w:eastAsia="en-GB"/>
              </w:rPr>
              <w:t>Month and Year of Last Use of mOPV2</w:t>
            </w:r>
            <w:r w:rsidRPr="00A90777">
              <w:rPr>
                <w:rFonts w:eastAsia="Times New Roman" w:cs="Times New Roman"/>
                <w:b/>
                <w:bCs/>
                <w:sz w:val="21"/>
                <w:szCs w:val="21"/>
                <w:vertAlign w:val="superscript"/>
                <w:lang w:eastAsia="en-GB"/>
              </w:rPr>
              <w:t>3</w:t>
            </w:r>
          </w:p>
        </w:tc>
      </w:tr>
      <w:tr w:rsidR="00A90777" w:rsidRPr="00A90777" w:rsidTr="00547638">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3</w:t>
            </w: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Afghanistan</w:t>
            </w:r>
          </w:p>
        </w:tc>
        <w:tc>
          <w:tcPr>
            <w:tcW w:w="724" w:type="pct"/>
            <w:shd w:val="clear" w:color="auto" w:fill="auto"/>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1997</w:t>
            </w:r>
          </w:p>
        </w:tc>
        <w:tc>
          <w:tcPr>
            <w:tcW w:w="481" w:type="pct"/>
            <w:shd w:val="clear" w:color="auto" w:fill="auto"/>
            <w:vAlign w:val="center"/>
          </w:tcPr>
          <w:p w:rsidR="00547638" w:rsidRPr="00A90777" w:rsidRDefault="00547638" w:rsidP="00547638">
            <w:pPr>
              <w:jc w:val="center"/>
              <w:rPr>
                <w:sz w:val="21"/>
                <w:szCs w:val="21"/>
              </w:rPr>
            </w:pPr>
          </w:p>
        </w:tc>
        <w:tc>
          <w:tcPr>
            <w:tcW w:w="482" w:type="pct"/>
            <w:shd w:val="clear" w:color="auto" w:fill="auto"/>
            <w:noWrap/>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September 2015</w:t>
            </w:r>
          </w:p>
        </w:tc>
        <w:tc>
          <w:tcPr>
            <w:tcW w:w="578" w:type="pct"/>
            <w:shd w:val="clear" w:color="auto" w:fill="auto"/>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March 2013</w:t>
            </w:r>
          </w:p>
        </w:tc>
        <w:tc>
          <w:tcPr>
            <w:tcW w:w="530" w:type="pct"/>
            <w:shd w:val="clear" w:color="auto" w:fill="auto"/>
            <w:noWrap/>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547638">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Albania</w:t>
            </w:r>
          </w:p>
        </w:tc>
        <w:tc>
          <w:tcPr>
            <w:tcW w:w="724" w:type="pct"/>
            <w:shd w:val="clear" w:color="auto" w:fill="auto"/>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1985</w:t>
            </w:r>
          </w:p>
        </w:tc>
        <w:tc>
          <w:tcPr>
            <w:tcW w:w="481" w:type="pct"/>
            <w:shd w:val="clear" w:color="auto" w:fill="auto"/>
            <w:vAlign w:val="center"/>
          </w:tcPr>
          <w:p w:rsidR="00547638" w:rsidRPr="00A90777" w:rsidRDefault="00547638" w:rsidP="00547638">
            <w:pPr>
              <w:jc w:val="center"/>
              <w:rPr>
                <w:sz w:val="21"/>
                <w:szCs w:val="21"/>
              </w:rPr>
            </w:pPr>
          </w:p>
        </w:tc>
        <w:tc>
          <w:tcPr>
            <w:tcW w:w="482" w:type="pct"/>
            <w:shd w:val="clear" w:color="auto" w:fill="auto"/>
            <w:noWrap/>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May 2014</w:t>
            </w:r>
          </w:p>
        </w:tc>
        <w:tc>
          <w:tcPr>
            <w:tcW w:w="578" w:type="pct"/>
            <w:shd w:val="clear" w:color="auto" w:fill="auto"/>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547638">
        <w:trPr>
          <w:trHeight w:val="510"/>
        </w:trPr>
        <w:tc>
          <w:tcPr>
            <w:tcW w:w="174" w:type="pct"/>
            <w:tcBorders>
              <w:bottom w:val="single" w:sz="4" w:space="0" w:color="auto"/>
            </w:tcBorders>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Algeria</w:t>
            </w:r>
          </w:p>
        </w:tc>
        <w:tc>
          <w:tcPr>
            <w:tcW w:w="724" w:type="pct"/>
            <w:shd w:val="clear" w:color="auto" w:fill="auto"/>
            <w:noWrap/>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1985</w:t>
            </w:r>
          </w:p>
        </w:tc>
        <w:tc>
          <w:tcPr>
            <w:tcW w:w="481" w:type="pct"/>
            <w:shd w:val="clear" w:color="auto" w:fill="auto"/>
            <w:noWrap/>
            <w:vAlign w:val="center"/>
          </w:tcPr>
          <w:p w:rsidR="00547638" w:rsidRPr="00A90777" w:rsidRDefault="00547638" w:rsidP="00547638">
            <w:pPr>
              <w:jc w:val="center"/>
              <w:rPr>
                <w:sz w:val="21"/>
                <w:szCs w:val="21"/>
              </w:rPr>
            </w:pPr>
          </w:p>
        </w:tc>
        <w:tc>
          <w:tcPr>
            <w:tcW w:w="482" w:type="pct"/>
            <w:shd w:val="clear" w:color="auto" w:fill="auto"/>
            <w:noWrap/>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2015</w:t>
            </w:r>
          </w:p>
        </w:tc>
        <w:tc>
          <w:tcPr>
            <w:tcW w:w="578" w:type="pct"/>
            <w:shd w:val="clear" w:color="auto" w:fill="auto"/>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547638">
        <w:trPr>
          <w:trHeight w:val="510"/>
        </w:trPr>
        <w:tc>
          <w:tcPr>
            <w:tcW w:w="174" w:type="pct"/>
            <w:tcBorders>
              <w:left w:val="nil"/>
            </w:tcBorders>
            <w:shd w:val="clear" w:color="auto" w:fill="auto"/>
            <w:vAlign w:val="center"/>
          </w:tcPr>
          <w:p w:rsidR="00547638" w:rsidRPr="00A90777" w:rsidRDefault="00547638" w:rsidP="00547638">
            <w:pPr>
              <w:pStyle w:val="ListParagraph"/>
              <w:ind w:left="360"/>
              <w:rPr>
                <w:rFonts w:eastAsia="Times New Roman" w:cs="Times New Roman"/>
                <w:sz w:val="21"/>
                <w:szCs w:val="21"/>
                <w:lang w:eastAsia="en-GB"/>
              </w:rPr>
            </w:pPr>
          </w:p>
        </w:tc>
        <w:tc>
          <w:tcPr>
            <w:tcW w:w="4826" w:type="pct"/>
            <w:gridSpan w:val="8"/>
            <w:shd w:val="clear" w:color="auto" w:fill="auto"/>
            <w:noWrap/>
            <w:vAlign w:val="center"/>
          </w:tcPr>
          <w:p w:rsidR="00547638" w:rsidRPr="00A90777" w:rsidRDefault="00547638" w:rsidP="00547638">
            <w:pPr>
              <w:spacing w:after="0" w:line="240" w:lineRule="auto"/>
              <w:rPr>
                <w:rFonts w:eastAsia="Times New Roman" w:cs="Times New Roman"/>
                <w:sz w:val="21"/>
                <w:szCs w:val="21"/>
                <w:lang w:eastAsia="en-GB"/>
              </w:rPr>
            </w:pPr>
            <w:r w:rsidRPr="00A90777">
              <w:rPr>
                <w:i/>
                <w:iCs/>
                <w:sz w:val="21"/>
                <w:szCs w:val="21"/>
              </w:rPr>
              <w:t>American Samoa: see under the United States of America</w:t>
            </w:r>
            <w:r w:rsidRPr="00A90777">
              <w:rPr>
                <w:rFonts w:eastAsia="Times New Roman" w:cs="Times New Roman"/>
                <w:sz w:val="21"/>
                <w:szCs w:val="21"/>
                <w:lang w:eastAsia="en-GB"/>
              </w:rPr>
              <w:t> </w:t>
            </w:r>
          </w:p>
        </w:tc>
      </w:tr>
      <w:tr w:rsidR="00A90777" w:rsidRPr="00A90777" w:rsidTr="00547638">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Andorra</w:t>
            </w:r>
          </w:p>
        </w:tc>
        <w:tc>
          <w:tcPr>
            <w:tcW w:w="724" w:type="pct"/>
            <w:shd w:val="clear" w:color="auto" w:fill="auto"/>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547638">
            <w:pPr>
              <w:jc w:val="center"/>
              <w:rPr>
                <w:sz w:val="21"/>
                <w:szCs w:val="21"/>
              </w:rPr>
            </w:pPr>
          </w:p>
        </w:tc>
        <w:tc>
          <w:tcPr>
            <w:tcW w:w="482" w:type="pct"/>
            <w:shd w:val="clear" w:color="auto" w:fill="auto"/>
            <w:noWrap/>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1999</w:t>
            </w:r>
          </w:p>
        </w:tc>
        <w:tc>
          <w:tcPr>
            <w:tcW w:w="578" w:type="pct"/>
            <w:shd w:val="clear" w:color="auto" w:fill="auto"/>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2004</w:t>
            </w:r>
          </w:p>
        </w:tc>
        <w:tc>
          <w:tcPr>
            <w:tcW w:w="531" w:type="pct"/>
            <w:shd w:val="clear" w:color="auto" w:fill="auto"/>
            <w:noWrap/>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547638">
        <w:trPr>
          <w:trHeight w:val="510"/>
        </w:trPr>
        <w:tc>
          <w:tcPr>
            <w:tcW w:w="174" w:type="pct"/>
            <w:tcBorders>
              <w:bottom w:val="single" w:sz="4" w:space="0" w:color="auto"/>
            </w:tcBorders>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Angola</w:t>
            </w:r>
          </w:p>
        </w:tc>
        <w:tc>
          <w:tcPr>
            <w:tcW w:w="724" w:type="pct"/>
            <w:shd w:val="clear" w:color="auto" w:fill="auto"/>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547638">
            <w:pPr>
              <w:jc w:val="center"/>
              <w:rPr>
                <w:sz w:val="21"/>
                <w:szCs w:val="21"/>
              </w:rPr>
            </w:pPr>
          </w:p>
        </w:tc>
        <w:tc>
          <w:tcPr>
            <w:tcW w:w="482" w:type="pct"/>
            <w:shd w:val="clear" w:color="auto" w:fill="auto"/>
            <w:noWrap/>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2017</w:t>
            </w:r>
          </w:p>
        </w:tc>
        <w:tc>
          <w:tcPr>
            <w:tcW w:w="578" w:type="pct"/>
            <w:shd w:val="clear" w:color="auto" w:fill="auto"/>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October 2013</w:t>
            </w:r>
          </w:p>
        </w:tc>
        <w:tc>
          <w:tcPr>
            <w:tcW w:w="530" w:type="pct"/>
            <w:shd w:val="clear" w:color="auto" w:fill="auto"/>
            <w:noWrap/>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547638">
        <w:trPr>
          <w:trHeight w:val="510"/>
        </w:trPr>
        <w:tc>
          <w:tcPr>
            <w:tcW w:w="174" w:type="pct"/>
            <w:tcBorders>
              <w:left w:val="nil"/>
            </w:tcBorders>
            <w:shd w:val="clear" w:color="auto" w:fill="auto"/>
            <w:vAlign w:val="center"/>
          </w:tcPr>
          <w:p w:rsidR="00547638" w:rsidRPr="00A90777" w:rsidRDefault="00547638" w:rsidP="00547638">
            <w:pPr>
              <w:pStyle w:val="ListParagraph"/>
              <w:ind w:left="360"/>
              <w:rPr>
                <w:rFonts w:eastAsia="Times New Roman" w:cs="Times New Roman"/>
                <w:sz w:val="21"/>
                <w:szCs w:val="21"/>
                <w:lang w:eastAsia="en-GB"/>
              </w:rPr>
            </w:pPr>
          </w:p>
        </w:tc>
        <w:tc>
          <w:tcPr>
            <w:tcW w:w="4826" w:type="pct"/>
            <w:gridSpan w:val="8"/>
            <w:shd w:val="clear" w:color="auto" w:fill="auto"/>
            <w:vAlign w:val="center"/>
          </w:tcPr>
          <w:p w:rsidR="00547638" w:rsidRPr="00A90777" w:rsidRDefault="00547638" w:rsidP="00547638">
            <w:pPr>
              <w:spacing w:after="0" w:line="240" w:lineRule="auto"/>
              <w:rPr>
                <w:i/>
                <w:iCs/>
                <w:sz w:val="21"/>
                <w:szCs w:val="21"/>
              </w:rPr>
            </w:pPr>
            <w:r w:rsidRPr="00A90777">
              <w:rPr>
                <w:i/>
                <w:iCs/>
                <w:sz w:val="21"/>
                <w:szCs w:val="21"/>
              </w:rPr>
              <w:t>Anguilla: see under the United Kingdom of Great Britain and Northern Ireland</w:t>
            </w:r>
            <w:r w:rsidRPr="00A90777">
              <w:rPr>
                <w:rFonts w:eastAsia="Times New Roman" w:cs="Times New Roman"/>
                <w:sz w:val="21"/>
                <w:szCs w:val="21"/>
                <w:lang w:eastAsia="en-GB"/>
              </w:rPr>
              <w:t> </w:t>
            </w:r>
          </w:p>
        </w:tc>
      </w:tr>
      <w:tr w:rsidR="00A90777" w:rsidRPr="00A90777" w:rsidTr="00547638">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Antigua and Barbuda</w:t>
            </w:r>
          </w:p>
        </w:tc>
        <w:tc>
          <w:tcPr>
            <w:tcW w:w="724" w:type="pct"/>
            <w:shd w:val="clear" w:color="auto" w:fill="auto"/>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1965</w:t>
            </w:r>
          </w:p>
        </w:tc>
        <w:tc>
          <w:tcPr>
            <w:tcW w:w="481" w:type="pct"/>
            <w:shd w:val="clear" w:color="auto" w:fill="auto"/>
            <w:vAlign w:val="center"/>
            <w:hideMark/>
          </w:tcPr>
          <w:p w:rsidR="00547638" w:rsidRPr="00A90777" w:rsidRDefault="00547638" w:rsidP="00547638">
            <w:pPr>
              <w:jc w:val="center"/>
              <w:rPr>
                <w:sz w:val="21"/>
                <w:szCs w:val="21"/>
              </w:rPr>
            </w:pPr>
          </w:p>
        </w:tc>
        <w:tc>
          <w:tcPr>
            <w:tcW w:w="482" w:type="pct"/>
            <w:shd w:val="clear" w:color="auto" w:fill="auto"/>
            <w:noWrap/>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November 2015</w:t>
            </w:r>
          </w:p>
        </w:tc>
        <w:tc>
          <w:tcPr>
            <w:tcW w:w="578" w:type="pct"/>
            <w:shd w:val="clear" w:color="auto" w:fill="auto"/>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547638">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Argentina</w:t>
            </w:r>
          </w:p>
        </w:tc>
        <w:tc>
          <w:tcPr>
            <w:tcW w:w="724" w:type="pct"/>
            <w:shd w:val="clear" w:color="auto" w:fill="auto"/>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1982</w:t>
            </w:r>
          </w:p>
        </w:tc>
        <w:tc>
          <w:tcPr>
            <w:tcW w:w="481" w:type="pct"/>
            <w:shd w:val="clear" w:color="auto" w:fill="auto"/>
            <w:vAlign w:val="center"/>
          </w:tcPr>
          <w:p w:rsidR="00547638" w:rsidRPr="00A90777" w:rsidRDefault="00547638" w:rsidP="00547638">
            <w:pPr>
              <w:jc w:val="center"/>
              <w:rPr>
                <w:sz w:val="21"/>
                <w:szCs w:val="21"/>
              </w:rPr>
            </w:pPr>
          </w:p>
        </w:tc>
        <w:tc>
          <w:tcPr>
            <w:tcW w:w="482" w:type="pct"/>
            <w:shd w:val="clear" w:color="auto" w:fill="auto"/>
            <w:noWrap/>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78" w:type="pct"/>
            <w:shd w:val="clear" w:color="auto" w:fill="auto"/>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547638">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Armenia</w:t>
            </w:r>
          </w:p>
        </w:tc>
        <w:tc>
          <w:tcPr>
            <w:tcW w:w="724" w:type="pct"/>
            <w:shd w:val="clear" w:color="auto" w:fill="auto"/>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1995</w:t>
            </w:r>
          </w:p>
        </w:tc>
        <w:tc>
          <w:tcPr>
            <w:tcW w:w="481" w:type="pct"/>
            <w:shd w:val="clear" w:color="auto" w:fill="auto"/>
            <w:vAlign w:val="center"/>
          </w:tcPr>
          <w:p w:rsidR="00547638" w:rsidRPr="00A90777" w:rsidRDefault="00547638" w:rsidP="00547638">
            <w:pPr>
              <w:jc w:val="center"/>
              <w:rPr>
                <w:sz w:val="21"/>
                <w:szCs w:val="21"/>
              </w:rPr>
            </w:pPr>
          </w:p>
        </w:tc>
        <w:tc>
          <w:tcPr>
            <w:tcW w:w="482" w:type="pct"/>
            <w:shd w:val="clear" w:color="auto" w:fill="auto"/>
            <w:noWrap/>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July 2016</w:t>
            </w:r>
          </w:p>
        </w:tc>
        <w:tc>
          <w:tcPr>
            <w:tcW w:w="578" w:type="pct"/>
            <w:shd w:val="clear" w:color="auto" w:fill="auto"/>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547638">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Australia</w:t>
            </w:r>
          </w:p>
        </w:tc>
        <w:tc>
          <w:tcPr>
            <w:tcW w:w="724" w:type="pct"/>
            <w:shd w:val="clear" w:color="auto" w:fill="auto"/>
            <w:noWrap/>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1965</w:t>
            </w:r>
          </w:p>
        </w:tc>
        <w:tc>
          <w:tcPr>
            <w:tcW w:w="481" w:type="pct"/>
            <w:shd w:val="clear" w:color="auto" w:fill="auto"/>
            <w:noWrap/>
            <w:vAlign w:val="center"/>
          </w:tcPr>
          <w:p w:rsidR="00547638" w:rsidRPr="00A90777" w:rsidRDefault="00547638" w:rsidP="00547638">
            <w:pPr>
              <w:jc w:val="center"/>
              <w:rPr>
                <w:sz w:val="21"/>
                <w:szCs w:val="21"/>
              </w:rPr>
            </w:pPr>
          </w:p>
        </w:tc>
        <w:tc>
          <w:tcPr>
            <w:tcW w:w="482" w:type="pct"/>
            <w:shd w:val="clear" w:color="auto" w:fill="auto"/>
            <w:noWrap/>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2005</w:t>
            </w:r>
          </w:p>
        </w:tc>
        <w:tc>
          <w:tcPr>
            <w:tcW w:w="578" w:type="pct"/>
            <w:shd w:val="clear" w:color="auto" w:fill="auto"/>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November 2005</w:t>
            </w:r>
          </w:p>
        </w:tc>
        <w:tc>
          <w:tcPr>
            <w:tcW w:w="531" w:type="pct"/>
            <w:shd w:val="clear" w:color="auto" w:fill="auto"/>
            <w:noWrap/>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547638">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Austria</w:t>
            </w:r>
          </w:p>
        </w:tc>
        <w:tc>
          <w:tcPr>
            <w:tcW w:w="724" w:type="pct"/>
            <w:shd w:val="clear" w:color="auto" w:fill="auto"/>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1995</w:t>
            </w:r>
          </w:p>
        </w:tc>
        <w:tc>
          <w:tcPr>
            <w:tcW w:w="481" w:type="pct"/>
            <w:shd w:val="clear" w:color="auto" w:fill="auto"/>
            <w:vAlign w:val="center"/>
          </w:tcPr>
          <w:p w:rsidR="00547638" w:rsidRPr="00A90777" w:rsidRDefault="00547638" w:rsidP="00547638">
            <w:pPr>
              <w:jc w:val="center"/>
              <w:rPr>
                <w:sz w:val="21"/>
                <w:szCs w:val="21"/>
              </w:rPr>
            </w:pPr>
          </w:p>
        </w:tc>
        <w:tc>
          <w:tcPr>
            <w:tcW w:w="482" w:type="pct"/>
            <w:shd w:val="clear" w:color="auto" w:fill="auto"/>
            <w:noWrap/>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2002</w:t>
            </w:r>
          </w:p>
        </w:tc>
        <w:tc>
          <w:tcPr>
            <w:tcW w:w="578" w:type="pct"/>
            <w:shd w:val="clear" w:color="auto" w:fill="auto"/>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2001</w:t>
            </w:r>
          </w:p>
        </w:tc>
        <w:tc>
          <w:tcPr>
            <w:tcW w:w="531" w:type="pct"/>
            <w:shd w:val="clear" w:color="auto" w:fill="auto"/>
            <w:noWrap/>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547638">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67"/>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Azerbaijan</w:t>
            </w:r>
          </w:p>
        </w:tc>
        <w:tc>
          <w:tcPr>
            <w:tcW w:w="724"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1996</w:t>
            </w:r>
          </w:p>
        </w:tc>
        <w:tc>
          <w:tcPr>
            <w:tcW w:w="481" w:type="pct"/>
            <w:shd w:val="clear" w:color="auto" w:fill="auto"/>
            <w:noWrap/>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February 2016</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67"/>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Bahamas</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1978</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October 2015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67"/>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Bahrain</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2008</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67"/>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Bangladesh</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1999</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March 2015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67"/>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Barbados</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1967</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October 2015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67"/>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Belarus</w:t>
            </w:r>
          </w:p>
        </w:tc>
        <w:tc>
          <w:tcPr>
            <w:tcW w:w="724"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1959</w:t>
            </w:r>
          </w:p>
        </w:tc>
        <w:tc>
          <w:tcPr>
            <w:tcW w:w="481" w:type="pct"/>
            <w:shd w:val="clear" w:color="auto" w:fill="auto"/>
            <w:noWrap/>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1960</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67"/>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Belgium</w:t>
            </w:r>
          </w:p>
        </w:tc>
        <w:tc>
          <w:tcPr>
            <w:tcW w:w="724"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1972</w:t>
            </w:r>
          </w:p>
        </w:tc>
        <w:tc>
          <w:tcPr>
            <w:tcW w:w="481" w:type="pct"/>
            <w:shd w:val="clear" w:color="auto" w:fill="auto"/>
            <w:noWrap/>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2001</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2003</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67"/>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Belize</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1981</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2015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67"/>
        </w:trPr>
        <w:tc>
          <w:tcPr>
            <w:tcW w:w="174" w:type="pct"/>
            <w:tcBorders>
              <w:bottom w:val="single" w:sz="4" w:space="0" w:color="auto"/>
            </w:tcBorders>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tcBorders>
              <w:bottom w:val="single" w:sz="4" w:space="0" w:color="auto"/>
            </w:tcBorders>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Benin</w:t>
            </w:r>
          </w:p>
        </w:tc>
        <w:tc>
          <w:tcPr>
            <w:tcW w:w="724" w:type="pct"/>
            <w:tcBorders>
              <w:bottom w:val="single" w:sz="4" w:space="0" w:color="auto"/>
            </w:tcBorders>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1997</w:t>
            </w:r>
          </w:p>
        </w:tc>
        <w:tc>
          <w:tcPr>
            <w:tcW w:w="481" w:type="pct"/>
            <w:tcBorders>
              <w:bottom w:val="single" w:sz="4" w:space="0" w:color="auto"/>
            </w:tcBorders>
            <w:shd w:val="clear" w:color="auto" w:fill="auto"/>
            <w:noWrap/>
            <w:vAlign w:val="center"/>
          </w:tcPr>
          <w:p w:rsidR="00547638" w:rsidRPr="00A90777" w:rsidRDefault="00547638" w:rsidP="00C27D0E">
            <w:pPr>
              <w:jc w:val="center"/>
              <w:rPr>
                <w:sz w:val="21"/>
                <w:szCs w:val="21"/>
              </w:rPr>
            </w:pPr>
          </w:p>
        </w:tc>
        <w:tc>
          <w:tcPr>
            <w:tcW w:w="482" w:type="pct"/>
            <w:tcBorders>
              <w:bottom w:val="single" w:sz="4" w:space="0" w:color="auto"/>
            </w:tcBorders>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August 2015</w:t>
            </w:r>
          </w:p>
        </w:tc>
        <w:tc>
          <w:tcPr>
            <w:tcW w:w="578" w:type="pct"/>
            <w:tcBorders>
              <w:bottom w:val="single" w:sz="4" w:space="0" w:color="auto"/>
            </w:tcBorders>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tcBorders>
              <w:bottom w:val="single" w:sz="4" w:space="0" w:color="auto"/>
            </w:tcBorders>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tcBorders>
              <w:bottom w:val="single" w:sz="4" w:space="0" w:color="auto"/>
            </w:tcBorders>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tcBorders>
              <w:bottom w:val="single" w:sz="4" w:space="0" w:color="auto"/>
            </w:tcBorders>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67"/>
        </w:trPr>
        <w:tc>
          <w:tcPr>
            <w:tcW w:w="174" w:type="pct"/>
            <w:tcBorders>
              <w:left w:val="nil"/>
              <w:bottom w:val="single" w:sz="4" w:space="0" w:color="auto"/>
            </w:tcBorders>
            <w:shd w:val="clear" w:color="auto" w:fill="auto"/>
            <w:vAlign w:val="center"/>
          </w:tcPr>
          <w:p w:rsidR="00547638" w:rsidRPr="00A90777" w:rsidRDefault="00547638" w:rsidP="00547638">
            <w:pPr>
              <w:pStyle w:val="ListParagraph"/>
              <w:ind w:left="360"/>
              <w:rPr>
                <w:rFonts w:eastAsia="Times New Roman" w:cs="Times New Roman"/>
                <w:sz w:val="21"/>
                <w:szCs w:val="21"/>
                <w:lang w:eastAsia="en-GB"/>
              </w:rPr>
            </w:pPr>
          </w:p>
        </w:tc>
        <w:tc>
          <w:tcPr>
            <w:tcW w:w="4826" w:type="pct"/>
            <w:gridSpan w:val="8"/>
            <w:tcBorders>
              <w:bottom w:val="single" w:sz="4" w:space="0" w:color="auto"/>
            </w:tcBorders>
            <w:shd w:val="clear" w:color="auto" w:fill="auto"/>
            <w:vAlign w:val="center"/>
          </w:tcPr>
          <w:p w:rsidR="00547638" w:rsidRPr="00A90777" w:rsidRDefault="00547638" w:rsidP="00C3162D">
            <w:pPr>
              <w:spacing w:after="0" w:line="240" w:lineRule="auto"/>
              <w:rPr>
                <w:i/>
                <w:iCs/>
                <w:sz w:val="21"/>
                <w:szCs w:val="21"/>
              </w:rPr>
            </w:pPr>
            <w:r w:rsidRPr="00A90777">
              <w:rPr>
                <w:i/>
                <w:iCs/>
                <w:sz w:val="21"/>
                <w:szCs w:val="21"/>
              </w:rPr>
              <w:t>Bermuda: see under the United Kingdom</w:t>
            </w:r>
            <w:r w:rsidRPr="00A90777">
              <w:rPr>
                <w:rFonts w:eastAsia="Times New Roman" w:cs="Times New Roman"/>
                <w:sz w:val="21"/>
                <w:szCs w:val="21"/>
                <w:lang w:eastAsia="en-GB"/>
              </w:rPr>
              <w:t> </w:t>
            </w:r>
            <w:r w:rsidRPr="00A90777">
              <w:rPr>
                <w:i/>
                <w:iCs/>
                <w:sz w:val="21"/>
                <w:szCs w:val="21"/>
              </w:rPr>
              <w:t>of Great Britain and Northern Ireland</w:t>
            </w:r>
            <w:r w:rsidRPr="00A90777">
              <w:rPr>
                <w:rFonts w:eastAsia="Times New Roman" w:cs="Times New Roman"/>
                <w:sz w:val="21"/>
                <w:szCs w:val="21"/>
                <w:lang w:eastAsia="en-GB"/>
              </w:rPr>
              <w:t> </w:t>
            </w:r>
          </w:p>
        </w:tc>
      </w:tr>
      <w:tr w:rsidR="00A90777" w:rsidRPr="00A90777" w:rsidTr="00C27D0E">
        <w:trPr>
          <w:trHeight w:val="567"/>
        </w:trPr>
        <w:tc>
          <w:tcPr>
            <w:tcW w:w="174" w:type="pct"/>
            <w:tcBorders>
              <w:top w:val="single" w:sz="4" w:space="0" w:color="auto"/>
            </w:tcBorders>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tcBorders>
              <w:top w:val="single" w:sz="4" w:space="0" w:color="auto"/>
            </w:tcBorders>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Bhutan</w:t>
            </w:r>
          </w:p>
        </w:tc>
        <w:tc>
          <w:tcPr>
            <w:tcW w:w="724" w:type="pct"/>
            <w:tcBorders>
              <w:top w:val="single" w:sz="4" w:space="0" w:color="auto"/>
            </w:tcBorders>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1999</w:t>
            </w:r>
          </w:p>
        </w:tc>
        <w:tc>
          <w:tcPr>
            <w:tcW w:w="481" w:type="pct"/>
            <w:tcBorders>
              <w:top w:val="single" w:sz="4" w:space="0" w:color="auto"/>
            </w:tcBorders>
            <w:shd w:val="clear" w:color="auto" w:fill="auto"/>
            <w:vAlign w:val="center"/>
          </w:tcPr>
          <w:p w:rsidR="00547638" w:rsidRPr="00A90777" w:rsidRDefault="00547638" w:rsidP="00C27D0E">
            <w:pPr>
              <w:jc w:val="center"/>
              <w:rPr>
                <w:sz w:val="21"/>
                <w:szCs w:val="21"/>
              </w:rPr>
            </w:pPr>
          </w:p>
        </w:tc>
        <w:tc>
          <w:tcPr>
            <w:tcW w:w="482" w:type="pct"/>
            <w:tcBorders>
              <w:top w:val="single" w:sz="4" w:space="0" w:color="auto"/>
            </w:tcBorders>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July 2015</w:t>
            </w:r>
          </w:p>
        </w:tc>
        <w:tc>
          <w:tcPr>
            <w:tcW w:w="578" w:type="pct"/>
            <w:tcBorders>
              <w:top w:val="single" w:sz="4" w:space="0" w:color="auto"/>
            </w:tcBorders>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tcBorders>
              <w:top w:val="single" w:sz="4" w:space="0" w:color="auto"/>
            </w:tcBorders>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tcBorders>
              <w:top w:val="single" w:sz="4" w:space="0" w:color="auto"/>
            </w:tcBorders>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tcBorders>
              <w:top w:val="single" w:sz="4" w:space="0" w:color="auto"/>
            </w:tcBorders>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67"/>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 xml:space="preserve">Bolivia, </w:t>
            </w:r>
            <w:proofErr w:type="spellStart"/>
            <w:r w:rsidRPr="00A90777">
              <w:rPr>
                <w:rFonts w:eastAsia="Times New Roman" w:cs="Times New Roman"/>
                <w:sz w:val="21"/>
                <w:szCs w:val="21"/>
                <w:lang w:eastAsia="en-GB"/>
              </w:rPr>
              <w:t>Plurinational</w:t>
            </w:r>
            <w:proofErr w:type="spellEnd"/>
            <w:r w:rsidRPr="00A90777">
              <w:rPr>
                <w:rFonts w:eastAsia="Times New Roman" w:cs="Times New Roman"/>
                <w:sz w:val="21"/>
                <w:szCs w:val="21"/>
                <w:lang w:eastAsia="en-GB"/>
              </w:rPr>
              <w:t xml:space="preserve"> State of </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1986</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February 2016</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67"/>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Bosnia and Herzegovina</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1975</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2008</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Botswana</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November 2015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tcBorders>
              <w:bottom w:val="single" w:sz="4" w:space="0" w:color="auto"/>
            </w:tcBorders>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Brazil</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1986</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2012</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tcBorders>
              <w:left w:val="nil"/>
            </w:tcBorders>
            <w:shd w:val="clear" w:color="auto" w:fill="auto"/>
            <w:vAlign w:val="center"/>
          </w:tcPr>
          <w:p w:rsidR="00547638" w:rsidRPr="00A90777" w:rsidRDefault="00547638" w:rsidP="00547638">
            <w:pPr>
              <w:pStyle w:val="ListParagraph"/>
              <w:ind w:left="360"/>
              <w:rPr>
                <w:rFonts w:eastAsia="Times New Roman" w:cs="Times New Roman"/>
                <w:sz w:val="21"/>
                <w:szCs w:val="21"/>
                <w:lang w:eastAsia="en-GB"/>
              </w:rPr>
            </w:pPr>
          </w:p>
        </w:tc>
        <w:tc>
          <w:tcPr>
            <w:tcW w:w="4826" w:type="pct"/>
            <w:gridSpan w:val="8"/>
            <w:shd w:val="clear" w:color="auto" w:fill="auto"/>
            <w:vAlign w:val="center"/>
          </w:tcPr>
          <w:p w:rsidR="00547638" w:rsidRPr="00A90777" w:rsidRDefault="00547638" w:rsidP="00547638">
            <w:pPr>
              <w:spacing w:after="0" w:line="240" w:lineRule="auto"/>
              <w:rPr>
                <w:rFonts w:eastAsia="Times New Roman" w:cs="Times New Roman"/>
                <w:sz w:val="21"/>
                <w:szCs w:val="21"/>
                <w:lang w:eastAsia="en-GB"/>
              </w:rPr>
            </w:pPr>
            <w:r w:rsidRPr="00A90777">
              <w:rPr>
                <w:i/>
                <w:iCs/>
                <w:sz w:val="21"/>
                <w:szCs w:val="21"/>
              </w:rPr>
              <w:t>British Virgin Islands: see under the United Kingdom</w:t>
            </w:r>
            <w:r w:rsidRPr="00A90777">
              <w:rPr>
                <w:rFonts w:eastAsia="Times New Roman" w:cs="Times New Roman"/>
                <w:sz w:val="21"/>
                <w:szCs w:val="21"/>
                <w:lang w:eastAsia="en-GB"/>
              </w:rPr>
              <w:t> </w:t>
            </w:r>
            <w:r w:rsidRPr="00A90777">
              <w:rPr>
                <w:i/>
                <w:iCs/>
                <w:sz w:val="21"/>
                <w:szCs w:val="21"/>
              </w:rPr>
              <w:t>of Great Britain and Northern Ireland</w:t>
            </w:r>
            <w:r w:rsidRPr="00A90777">
              <w:rPr>
                <w:rFonts w:eastAsia="Times New Roman" w:cs="Times New Roman"/>
                <w:sz w:val="21"/>
                <w:szCs w:val="21"/>
                <w:lang w:eastAsia="en-GB"/>
              </w:rPr>
              <w:t> </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Brunei Darussalam</w:t>
            </w:r>
          </w:p>
        </w:tc>
        <w:tc>
          <w:tcPr>
            <w:tcW w:w="724" w:type="pct"/>
            <w:shd w:val="clear" w:color="auto" w:fill="auto"/>
            <w:vAlign w:val="center"/>
            <w:hideMark/>
          </w:tcPr>
          <w:p w:rsidR="00547638" w:rsidRPr="00A90777" w:rsidRDefault="00804CBA"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hideMark/>
          </w:tcPr>
          <w:p w:rsidR="00547638" w:rsidRPr="00A90777" w:rsidRDefault="00547638" w:rsidP="00C27D0E">
            <w:pPr>
              <w:jc w:val="center"/>
              <w:rPr>
                <w:i/>
                <w:iCs/>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2011</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2014</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Bulgaria</w:t>
            </w:r>
          </w:p>
        </w:tc>
        <w:tc>
          <w:tcPr>
            <w:tcW w:w="724"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1970</w:t>
            </w:r>
          </w:p>
        </w:tc>
        <w:tc>
          <w:tcPr>
            <w:tcW w:w="481" w:type="pct"/>
            <w:shd w:val="clear" w:color="auto" w:fill="auto"/>
            <w:noWrap/>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2007</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July 2007</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tcBorders>
              <w:bottom w:val="single" w:sz="4" w:space="0" w:color="auto"/>
            </w:tcBorders>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Burkina Faso</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2017</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tcBorders>
              <w:left w:val="nil"/>
            </w:tcBorders>
            <w:shd w:val="clear" w:color="auto" w:fill="auto"/>
            <w:vAlign w:val="center"/>
          </w:tcPr>
          <w:p w:rsidR="00547638" w:rsidRPr="00A90777" w:rsidRDefault="00547638" w:rsidP="00547638">
            <w:pPr>
              <w:pStyle w:val="ListParagraph"/>
              <w:ind w:left="360"/>
              <w:rPr>
                <w:rFonts w:eastAsia="Times New Roman" w:cs="Times New Roman"/>
                <w:sz w:val="21"/>
                <w:szCs w:val="21"/>
                <w:lang w:eastAsia="en-GB"/>
              </w:rPr>
            </w:pPr>
          </w:p>
        </w:tc>
        <w:tc>
          <w:tcPr>
            <w:tcW w:w="4826" w:type="pct"/>
            <w:gridSpan w:val="8"/>
            <w:shd w:val="clear" w:color="auto" w:fill="auto"/>
            <w:noWrap/>
            <w:vAlign w:val="center"/>
          </w:tcPr>
          <w:p w:rsidR="00547638" w:rsidRPr="00A90777" w:rsidRDefault="00547638" w:rsidP="00547638">
            <w:pPr>
              <w:spacing w:after="0" w:line="240" w:lineRule="auto"/>
              <w:rPr>
                <w:rFonts w:eastAsia="Times New Roman" w:cs="Times New Roman"/>
                <w:sz w:val="21"/>
                <w:szCs w:val="21"/>
                <w:lang w:eastAsia="en-GB"/>
              </w:rPr>
            </w:pPr>
            <w:r w:rsidRPr="00A90777">
              <w:rPr>
                <w:i/>
                <w:iCs/>
                <w:sz w:val="21"/>
                <w:szCs w:val="21"/>
              </w:rPr>
              <w:t>Burma: see Myanmar</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Burundi</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November 2015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2011</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Cabo Verde</w:t>
            </w:r>
          </w:p>
        </w:tc>
        <w:tc>
          <w:tcPr>
            <w:tcW w:w="724"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August 2016</w:t>
            </w:r>
          </w:p>
        </w:tc>
        <w:tc>
          <w:tcPr>
            <w:tcW w:w="578"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Cambodia</w:t>
            </w:r>
          </w:p>
        </w:tc>
        <w:tc>
          <w:tcPr>
            <w:tcW w:w="724"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1989</w:t>
            </w:r>
          </w:p>
        </w:tc>
        <w:tc>
          <w:tcPr>
            <w:tcW w:w="481" w:type="pct"/>
            <w:shd w:val="clear" w:color="auto" w:fill="auto"/>
            <w:noWrap/>
            <w:vAlign w:val="center"/>
          </w:tcPr>
          <w:p w:rsidR="00547638" w:rsidRPr="00A90777" w:rsidRDefault="00547638" w:rsidP="00C27D0E">
            <w:pPr>
              <w:jc w:val="center"/>
              <w:rPr>
                <w:i/>
                <w:iCs/>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2015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Cameroon</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July 2015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August 2013</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E609DF">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January 2017</w:t>
            </w:r>
          </w:p>
        </w:tc>
      </w:tr>
      <w:tr w:rsidR="00A90777" w:rsidRPr="00A90777" w:rsidTr="00C27D0E">
        <w:trPr>
          <w:trHeight w:val="510"/>
        </w:trPr>
        <w:tc>
          <w:tcPr>
            <w:tcW w:w="174" w:type="pct"/>
            <w:tcBorders>
              <w:bottom w:val="single" w:sz="4" w:space="0" w:color="auto"/>
            </w:tcBorders>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Canada</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1964</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1955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1996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tcBorders>
              <w:left w:val="nil"/>
            </w:tcBorders>
            <w:shd w:val="clear" w:color="auto" w:fill="auto"/>
            <w:vAlign w:val="center"/>
          </w:tcPr>
          <w:p w:rsidR="00547638" w:rsidRPr="00A90777" w:rsidRDefault="00547638" w:rsidP="00547638">
            <w:pPr>
              <w:pStyle w:val="ListParagraph"/>
              <w:ind w:left="360"/>
              <w:rPr>
                <w:rFonts w:eastAsia="Times New Roman" w:cs="Times New Roman"/>
                <w:sz w:val="21"/>
                <w:szCs w:val="21"/>
                <w:lang w:eastAsia="en-GB"/>
              </w:rPr>
            </w:pPr>
          </w:p>
        </w:tc>
        <w:tc>
          <w:tcPr>
            <w:tcW w:w="4826" w:type="pct"/>
            <w:gridSpan w:val="8"/>
            <w:shd w:val="clear" w:color="auto" w:fill="auto"/>
            <w:noWrap/>
            <w:vAlign w:val="center"/>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i/>
                <w:sz w:val="21"/>
                <w:szCs w:val="21"/>
                <w:lang w:eastAsia="en-GB"/>
              </w:rPr>
              <w:t xml:space="preserve">Cayman Islands: see </w:t>
            </w:r>
            <w:r w:rsidRPr="00A90777">
              <w:rPr>
                <w:i/>
                <w:iCs/>
                <w:sz w:val="21"/>
                <w:szCs w:val="21"/>
              </w:rPr>
              <w:t>under the United Kingdom</w:t>
            </w:r>
            <w:r w:rsidRPr="00A90777">
              <w:rPr>
                <w:rFonts w:eastAsia="Times New Roman" w:cs="Times New Roman"/>
                <w:sz w:val="21"/>
                <w:szCs w:val="21"/>
                <w:lang w:eastAsia="en-GB"/>
              </w:rPr>
              <w:t> </w:t>
            </w:r>
            <w:r w:rsidRPr="00A90777">
              <w:rPr>
                <w:i/>
                <w:iCs/>
                <w:sz w:val="21"/>
                <w:szCs w:val="21"/>
              </w:rPr>
              <w:t>of Great Britain and Northern Ireland</w:t>
            </w:r>
            <w:r w:rsidRPr="00A90777">
              <w:rPr>
                <w:rFonts w:eastAsia="Times New Roman" w:cs="Times New Roman"/>
                <w:sz w:val="21"/>
                <w:szCs w:val="21"/>
                <w:lang w:eastAsia="en-GB"/>
              </w:rPr>
              <w:t> </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Central Africa Republic</w:t>
            </w:r>
          </w:p>
        </w:tc>
        <w:tc>
          <w:tcPr>
            <w:tcW w:w="724"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1996</w:t>
            </w:r>
          </w:p>
        </w:tc>
        <w:tc>
          <w:tcPr>
            <w:tcW w:w="481" w:type="pct"/>
            <w:shd w:val="clear" w:color="auto" w:fill="auto"/>
            <w:noWrap/>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September 2015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Chad</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hideMark/>
          </w:tcPr>
          <w:p w:rsidR="00547638" w:rsidRPr="00A90777" w:rsidRDefault="00547638" w:rsidP="00C27D0E">
            <w:pPr>
              <w:jc w:val="center"/>
              <w:rPr>
                <w:i/>
                <w:iCs/>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August 2015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May 2013</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E7A24">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January 2017</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Chile</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1971</w:t>
            </w:r>
          </w:p>
        </w:tc>
        <w:tc>
          <w:tcPr>
            <w:tcW w:w="481" w:type="pct"/>
            <w:shd w:val="clear" w:color="auto" w:fill="auto"/>
            <w:vAlign w:val="center"/>
            <w:hideMark/>
          </w:tcPr>
          <w:p w:rsidR="00547638" w:rsidRPr="00A90777" w:rsidRDefault="00547638" w:rsidP="00C27D0E">
            <w:pPr>
              <w:jc w:val="center"/>
              <w:rPr>
                <w:i/>
                <w:iCs/>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March 2016</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China, People's Republic of</w:t>
            </w:r>
          </w:p>
        </w:tc>
        <w:tc>
          <w:tcPr>
            <w:tcW w:w="724" w:type="pct"/>
            <w:shd w:val="clear" w:color="auto" w:fill="auto"/>
            <w:vAlign w:val="center"/>
            <w:hideMark/>
          </w:tcPr>
          <w:p w:rsidR="00547638" w:rsidRPr="00A90777" w:rsidRDefault="00804CBA"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2014</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February 2012</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tcPr>
          <w:p w:rsidR="00547638" w:rsidRPr="00A90777" w:rsidRDefault="00547638" w:rsidP="00547638">
            <w:pPr>
              <w:spacing w:after="0" w:line="240" w:lineRule="auto"/>
              <w:ind w:left="720"/>
              <w:rPr>
                <w:rFonts w:eastAsia="Times New Roman" w:cs="Times New Roman"/>
                <w:sz w:val="21"/>
                <w:szCs w:val="21"/>
                <w:lang w:eastAsia="en-GB"/>
              </w:rPr>
            </w:pPr>
            <w:r w:rsidRPr="00A90777">
              <w:rPr>
                <w:sz w:val="21"/>
                <w:szCs w:val="21"/>
              </w:rPr>
              <w:t>China, Hong Kong SAR</w:t>
            </w:r>
          </w:p>
        </w:tc>
        <w:tc>
          <w:tcPr>
            <w:tcW w:w="724"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1983</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p>
        </w:tc>
        <w:tc>
          <w:tcPr>
            <w:tcW w:w="578"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February 2007</w:t>
            </w:r>
          </w:p>
        </w:tc>
        <w:tc>
          <w:tcPr>
            <w:tcW w:w="531"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tcPr>
          <w:p w:rsidR="00547638" w:rsidRPr="00A90777" w:rsidRDefault="00547638" w:rsidP="00547638">
            <w:pPr>
              <w:spacing w:after="0" w:line="240" w:lineRule="auto"/>
              <w:ind w:left="720"/>
              <w:rPr>
                <w:rFonts w:eastAsia="Times New Roman" w:cs="Times New Roman"/>
                <w:sz w:val="21"/>
                <w:szCs w:val="21"/>
                <w:lang w:eastAsia="en-GB"/>
              </w:rPr>
            </w:pPr>
            <w:r w:rsidRPr="00A90777">
              <w:rPr>
                <w:sz w:val="21"/>
                <w:szCs w:val="21"/>
              </w:rPr>
              <w:t>China, Macao SAR</w:t>
            </w:r>
          </w:p>
        </w:tc>
        <w:tc>
          <w:tcPr>
            <w:tcW w:w="724" w:type="pct"/>
            <w:shd w:val="clear" w:color="auto" w:fill="auto"/>
            <w:vAlign w:val="center"/>
          </w:tcPr>
          <w:p w:rsidR="00547638" w:rsidRPr="00A90777" w:rsidRDefault="00804CBA"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1975??</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p>
        </w:tc>
        <w:tc>
          <w:tcPr>
            <w:tcW w:w="578"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2008</w:t>
            </w:r>
          </w:p>
        </w:tc>
        <w:tc>
          <w:tcPr>
            <w:tcW w:w="531"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tcPr>
          <w:p w:rsidR="00547638" w:rsidRPr="00A90777" w:rsidRDefault="00547638" w:rsidP="00547638">
            <w:pPr>
              <w:spacing w:after="0" w:line="240" w:lineRule="auto"/>
              <w:ind w:left="720"/>
              <w:rPr>
                <w:sz w:val="21"/>
                <w:szCs w:val="21"/>
              </w:rPr>
            </w:pPr>
            <w:r w:rsidRPr="00A90777">
              <w:rPr>
                <w:sz w:val="21"/>
                <w:szCs w:val="21"/>
              </w:rPr>
              <w:t>Taiwan, China</w:t>
            </w:r>
          </w:p>
        </w:tc>
        <w:tc>
          <w:tcPr>
            <w:tcW w:w="724"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1979</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p>
        </w:tc>
        <w:tc>
          <w:tcPr>
            <w:tcW w:w="578"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Colombia</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1982</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February 2015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Comoros</w:t>
            </w:r>
          </w:p>
        </w:tc>
        <w:tc>
          <w:tcPr>
            <w:tcW w:w="724"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1982</w:t>
            </w:r>
          </w:p>
        </w:tc>
        <w:tc>
          <w:tcPr>
            <w:tcW w:w="481" w:type="pct"/>
            <w:shd w:val="clear" w:color="auto" w:fill="auto"/>
            <w:noWrap/>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January 2015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Congo</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Cook Islands</w:t>
            </w:r>
          </w:p>
        </w:tc>
        <w:tc>
          <w:tcPr>
            <w:tcW w:w="724" w:type="pct"/>
            <w:shd w:val="clear" w:color="auto" w:fill="auto"/>
            <w:vAlign w:val="center"/>
            <w:hideMark/>
          </w:tcPr>
          <w:p w:rsidR="00547638" w:rsidRPr="00A90777" w:rsidRDefault="00804CBA"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hideMark/>
          </w:tcPr>
          <w:p w:rsidR="00547638" w:rsidRPr="00A90777" w:rsidRDefault="00547638" w:rsidP="00C27D0E">
            <w:pPr>
              <w:ind w:firstLineChars="300" w:firstLine="630"/>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November 2015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Costa Rica</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1986</w:t>
            </w:r>
          </w:p>
        </w:tc>
        <w:tc>
          <w:tcPr>
            <w:tcW w:w="481" w:type="pct"/>
            <w:shd w:val="clear" w:color="auto" w:fill="auto"/>
            <w:vAlign w:val="center"/>
            <w:hideMark/>
          </w:tcPr>
          <w:p w:rsidR="00547638" w:rsidRPr="00A90777" w:rsidRDefault="00547638" w:rsidP="00C27D0E">
            <w:pPr>
              <w:ind w:firstLineChars="300" w:firstLine="630"/>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2010</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May 2011</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ascii="Calibri" w:eastAsia="Times New Roman" w:hAnsi="Calibri" w:cs="Times New Roman"/>
                <w:sz w:val="21"/>
                <w:szCs w:val="21"/>
              </w:rPr>
            </w:pPr>
            <w:r w:rsidRPr="00A90777">
              <w:rPr>
                <w:rFonts w:ascii="Calibri" w:eastAsia="Times New Roman" w:hAnsi="Calibri" w:cs="Times New Roman"/>
                <w:sz w:val="21"/>
                <w:szCs w:val="21"/>
              </w:rPr>
              <w:t>C</w:t>
            </w:r>
            <w:r w:rsidRPr="00A90777">
              <w:rPr>
                <w:rFonts w:ascii="Calibri" w:eastAsia="Times New Roman" w:hAnsi="Calibri" w:cs="Calibri"/>
                <w:sz w:val="21"/>
                <w:szCs w:val="21"/>
              </w:rPr>
              <w:t>ô</w:t>
            </w:r>
            <w:r w:rsidRPr="00A90777">
              <w:rPr>
                <w:rFonts w:ascii="Calibri" w:eastAsia="Times New Roman" w:hAnsi="Calibri" w:cs="Times New Roman"/>
                <w:sz w:val="21"/>
                <w:szCs w:val="21"/>
              </w:rPr>
              <w:t>te d'Ivoire</w:t>
            </w:r>
          </w:p>
        </w:tc>
        <w:tc>
          <w:tcPr>
            <w:tcW w:w="724"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1997</w:t>
            </w:r>
          </w:p>
        </w:tc>
        <w:tc>
          <w:tcPr>
            <w:tcW w:w="481" w:type="pct"/>
            <w:shd w:val="clear" w:color="auto" w:fill="auto"/>
            <w:noWrap/>
            <w:vAlign w:val="center"/>
            <w:hideMark/>
          </w:tcPr>
          <w:p w:rsidR="00547638" w:rsidRPr="00A90777" w:rsidRDefault="00547638" w:rsidP="00C27D0E">
            <w:pPr>
              <w:ind w:firstLineChars="300" w:firstLine="630"/>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June 2015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Croatia</w:t>
            </w:r>
          </w:p>
        </w:tc>
        <w:tc>
          <w:tcPr>
            <w:tcW w:w="724"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1989</w:t>
            </w:r>
          </w:p>
        </w:tc>
        <w:tc>
          <w:tcPr>
            <w:tcW w:w="481" w:type="pct"/>
            <w:shd w:val="clear" w:color="auto" w:fill="auto"/>
            <w:noWrap/>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1961</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2007</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Cuba</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1962</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January 2016</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Cyprus</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1995</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2003</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2008</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 xml:space="preserve">Czech  Republic </w:t>
            </w:r>
          </w:p>
        </w:tc>
        <w:tc>
          <w:tcPr>
            <w:tcW w:w="724"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1960</w:t>
            </w:r>
          </w:p>
        </w:tc>
        <w:tc>
          <w:tcPr>
            <w:tcW w:w="481" w:type="pct"/>
            <w:shd w:val="clear" w:color="auto" w:fill="auto"/>
            <w:noWrap/>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2007</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January 2007</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Democratic People's Republic of Korea</w:t>
            </w:r>
          </w:p>
        </w:tc>
        <w:tc>
          <w:tcPr>
            <w:tcW w:w="724"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1999</w:t>
            </w:r>
          </w:p>
        </w:tc>
        <w:tc>
          <w:tcPr>
            <w:tcW w:w="481" w:type="pct"/>
            <w:shd w:val="clear" w:color="auto" w:fill="auto"/>
            <w:noWrap/>
            <w:vAlign w:val="center"/>
          </w:tcPr>
          <w:p w:rsidR="00547638" w:rsidRPr="00A90777" w:rsidRDefault="00547638" w:rsidP="00C27D0E">
            <w:pPr>
              <w:jc w:val="center"/>
              <w:rPr>
                <w:sz w:val="21"/>
                <w:szCs w:val="21"/>
              </w:rPr>
            </w:pPr>
          </w:p>
        </w:tc>
        <w:tc>
          <w:tcPr>
            <w:tcW w:w="482"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2015</w:t>
            </w:r>
          </w:p>
        </w:tc>
        <w:tc>
          <w:tcPr>
            <w:tcW w:w="578"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 xml:space="preserve">Democratic Republic of the Congo, the </w:t>
            </w:r>
          </w:p>
        </w:tc>
        <w:tc>
          <w:tcPr>
            <w:tcW w:w="724"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noWrap/>
            <w:vAlign w:val="center"/>
          </w:tcPr>
          <w:p w:rsidR="00547638" w:rsidRPr="00A90777" w:rsidRDefault="00547638" w:rsidP="00C27D0E">
            <w:pPr>
              <w:jc w:val="center"/>
              <w:rPr>
                <w:sz w:val="21"/>
                <w:szCs w:val="21"/>
              </w:rPr>
            </w:pPr>
          </w:p>
        </w:tc>
        <w:tc>
          <w:tcPr>
            <w:tcW w:w="482"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2015</w:t>
            </w:r>
          </w:p>
        </w:tc>
        <w:tc>
          <w:tcPr>
            <w:tcW w:w="578" w:type="pct"/>
            <w:shd w:val="clear" w:color="auto" w:fill="auto"/>
            <w:vAlign w:val="center"/>
          </w:tcPr>
          <w:p w:rsidR="00547638" w:rsidRPr="00A90777" w:rsidRDefault="00547638" w:rsidP="00E609DF">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Outbreak not declared closed yet</w:t>
            </w:r>
          </w:p>
        </w:tc>
        <w:tc>
          <w:tcPr>
            <w:tcW w:w="530"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tcPr>
          <w:p w:rsidR="00547638" w:rsidRPr="00A90777" w:rsidRDefault="0024073D" w:rsidP="00C3162D">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 xml:space="preserve">September </w:t>
            </w:r>
            <w:r w:rsidR="00547638" w:rsidRPr="00A90777">
              <w:rPr>
                <w:rFonts w:eastAsia="Times New Roman" w:cs="Times New Roman"/>
                <w:sz w:val="21"/>
                <w:szCs w:val="21"/>
                <w:lang w:eastAsia="en-GB"/>
              </w:rPr>
              <w:t>2017</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Denmark</w:t>
            </w:r>
          </w:p>
        </w:tc>
        <w:tc>
          <w:tcPr>
            <w:tcW w:w="724"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1967</w:t>
            </w:r>
          </w:p>
        </w:tc>
        <w:tc>
          <w:tcPr>
            <w:tcW w:w="481" w:type="pct"/>
            <w:shd w:val="clear" w:color="auto" w:fill="auto"/>
            <w:noWrap/>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1955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August 2003</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Djibouti</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Dominica</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1981</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September 2015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Dominican Republic</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1986</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2015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Ecuador</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1987</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2015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Egypt</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1994</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2017</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May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El Salvador</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1987</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January 2016</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Equatorial Guinea</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August 2016</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Eritrea</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2017</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Estonia</w:t>
            </w:r>
          </w:p>
        </w:tc>
        <w:tc>
          <w:tcPr>
            <w:tcW w:w="724"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1959</w:t>
            </w:r>
          </w:p>
        </w:tc>
        <w:tc>
          <w:tcPr>
            <w:tcW w:w="481" w:type="pct"/>
            <w:shd w:val="clear" w:color="auto" w:fill="auto"/>
            <w:noWrap/>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2008</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2007</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Ethiopia</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2015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February 2009</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Fiji</w:t>
            </w:r>
          </w:p>
        </w:tc>
        <w:tc>
          <w:tcPr>
            <w:tcW w:w="724" w:type="pct"/>
            <w:shd w:val="clear" w:color="auto" w:fill="auto"/>
            <w:vAlign w:val="center"/>
          </w:tcPr>
          <w:p w:rsidR="00547638" w:rsidRPr="00A90777" w:rsidRDefault="00804CBA"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2015</w:t>
            </w:r>
          </w:p>
        </w:tc>
        <w:tc>
          <w:tcPr>
            <w:tcW w:w="578"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Finland</w:t>
            </w:r>
          </w:p>
        </w:tc>
        <w:tc>
          <w:tcPr>
            <w:tcW w:w="724"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1981</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1957</w:t>
            </w:r>
          </w:p>
        </w:tc>
        <w:tc>
          <w:tcPr>
            <w:tcW w:w="578"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2013</w:t>
            </w:r>
          </w:p>
        </w:tc>
        <w:tc>
          <w:tcPr>
            <w:tcW w:w="530"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1956</w:t>
            </w:r>
          </w:p>
        </w:tc>
        <w:tc>
          <w:tcPr>
            <w:tcW w:w="531"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March 1985</w:t>
            </w:r>
          </w:p>
        </w:tc>
        <w:tc>
          <w:tcPr>
            <w:tcW w:w="579"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France</w:t>
            </w:r>
          </w:p>
        </w:tc>
        <w:tc>
          <w:tcPr>
            <w:tcW w:w="724"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1997</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1964</w:t>
            </w:r>
          </w:p>
        </w:tc>
        <w:tc>
          <w:tcPr>
            <w:tcW w:w="578"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1983</w:t>
            </w:r>
          </w:p>
        </w:tc>
        <w:tc>
          <w:tcPr>
            <w:tcW w:w="531"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tcPr>
          <w:p w:rsidR="00547638" w:rsidRPr="00A90777" w:rsidRDefault="00547638" w:rsidP="00547638">
            <w:pPr>
              <w:spacing w:after="0" w:line="240" w:lineRule="auto"/>
              <w:ind w:left="720"/>
              <w:rPr>
                <w:rFonts w:eastAsia="Times New Roman" w:cs="Times New Roman"/>
                <w:sz w:val="21"/>
                <w:szCs w:val="21"/>
                <w:lang w:eastAsia="en-GB"/>
              </w:rPr>
            </w:pPr>
            <w:r w:rsidRPr="00A90777">
              <w:rPr>
                <w:rFonts w:eastAsia="Times New Roman" w:cs="Times New Roman"/>
                <w:sz w:val="21"/>
                <w:szCs w:val="21"/>
                <w:lang w:eastAsia="en-GB"/>
              </w:rPr>
              <w:t xml:space="preserve">French Guiana </w:t>
            </w:r>
          </w:p>
        </w:tc>
        <w:tc>
          <w:tcPr>
            <w:tcW w:w="724"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ind w:firstLineChars="300" w:firstLine="630"/>
              <w:jc w:val="center"/>
              <w:rPr>
                <w:sz w:val="21"/>
                <w:szCs w:val="21"/>
              </w:rPr>
            </w:pPr>
          </w:p>
        </w:tc>
        <w:tc>
          <w:tcPr>
            <w:tcW w:w="482"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p>
        </w:tc>
        <w:tc>
          <w:tcPr>
            <w:tcW w:w="578"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tcPr>
          <w:p w:rsidR="00547638" w:rsidRPr="00A90777" w:rsidRDefault="00547638" w:rsidP="00547638">
            <w:pPr>
              <w:spacing w:after="0" w:line="240" w:lineRule="auto"/>
              <w:ind w:left="720"/>
              <w:rPr>
                <w:rFonts w:eastAsia="Times New Roman" w:cs="Times New Roman"/>
                <w:sz w:val="21"/>
                <w:szCs w:val="21"/>
                <w:lang w:eastAsia="en-GB"/>
              </w:rPr>
            </w:pPr>
            <w:r w:rsidRPr="00A90777">
              <w:rPr>
                <w:rFonts w:eastAsia="Times New Roman" w:cs="Times New Roman"/>
                <w:sz w:val="21"/>
                <w:szCs w:val="21"/>
                <w:lang w:eastAsia="en-GB"/>
              </w:rPr>
              <w:t xml:space="preserve">French Polynesia </w:t>
            </w:r>
          </w:p>
        </w:tc>
        <w:tc>
          <w:tcPr>
            <w:tcW w:w="724" w:type="pct"/>
            <w:shd w:val="clear" w:color="auto" w:fill="auto"/>
            <w:vAlign w:val="center"/>
          </w:tcPr>
          <w:p w:rsidR="00547638" w:rsidRPr="00A90777" w:rsidRDefault="00804CBA"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ind w:firstLineChars="300" w:firstLine="630"/>
              <w:jc w:val="center"/>
              <w:rPr>
                <w:sz w:val="21"/>
                <w:szCs w:val="21"/>
              </w:rPr>
            </w:pPr>
          </w:p>
        </w:tc>
        <w:tc>
          <w:tcPr>
            <w:tcW w:w="482"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p>
        </w:tc>
        <w:tc>
          <w:tcPr>
            <w:tcW w:w="578"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1990</w:t>
            </w:r>
          </w:p>
        </w:tc>
        <w:tc>
          <w:tcPr>
            <w:tcW w:w="531"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tcPr>
          <w:p w:rsidR="00547638" w:rsidRPr="00A90777" w:rsidRDefault="00547638" w:rsidP="00547638">
            <w:pPr>
              <w:spacing w:after="0" w:line="240" w:lineRule="auto"/>
              <w:ind w:left="720"/>
              <w:rPr>
                <w:rFonts w:eastAsia="Times New Roman" w:cs="Times New Roman"/>
                <w:sz w:val="21"/>
                <w:szCs w:val="21"/>
                <w:lang w:eastAsia="en-GB"/>
              </w:rPr>
            </w:pPr>
            <w:r w:rsidRPr="00A90777">
              <w:rPr>
                <w:rFonts w:eastAsia="Times New Roman" w:cs="Times New Roman"/>
                <w:sz w:val="21"/>
                <w:szCs w:val="21"/>
                <w:lang w:eastAsia="en-GB"/>
              </w:rPr>
              <w:t xml:space="preserve">Guadeloupe </w:t>
            </w:r>
          </w:p>
        </w:tc>
        <w:tc>
          <w:tcPr>
            <w:tcW w:w="724"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p>
        </w:tc>
        <w:tc>
          <w:tcPr>
            <w:tcW w:w="578"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tcPr>
          <w:p w:rsidR="00547638" w:rsidRPr="00A90777" w:rsidRDefault="00547638" w:rsidP="00547638">
            <w:pPr>
              <w:spacing w:after="0" w:line="240" w:lineRule="auto"/>
              <w:ind w:left="720"/>
              <w:rPr>
                <w:rFonts w:eastAsia="Times New Roman" w:cs="Times New Roman"/>
                <w:sz w:val="21"/>
                <w:szCs w:val="21"/>
                <w:lang w:eastAsia="en-GB"/>
              </w:rPr>
            </w:pPr>
            <w:r w:rsidRPr="00A90777">
              <w:rPr>
                <w:rFonts w:eastAsia="Times New Roman" w:cs="Times New Roman"/>
                <w:sz w:val="21"/>
                <w:szCs w:val="21"/>
                <w:lang w:eastAsia="en-GB"/>
              </w:rPr>
              <w:t>Martinique</w:t>
            </w:r>
          </w:p>
        </w:tc>
        <w:tc>
          <w:tcPr>
            <w:tcW w:w="724"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p>
        </w:tc>
        <w:tc>
          <w:tcPr>
            <w:tcW w:w="578"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tcPr>
          <w:p w:rsidR="00547638" w:rsidRPr="00A90777" w:rsidRDefault="00547638" w:rsidP="00547638">
            <w:pPr>
              <w:spacing w:after="0" w:line="240" w:lineRule="auto"/>
              <w:ind w:left="720"/>
              <w:rPr>
                <w:rFonts w:eastAsia="Times New Roman" w:cs="Times New Roman"/>
                <w:sz w:val="21"/>
                <w:szCs w:val="21"/>
                <w:lang w:eastAsia="en-GB"/>
              </w:rPr>
            </w:pPr>
            <w:r w:rsidRPr="00A90777">
              <w:rPr>
                <w:rFonts w:eastAsia="Times New Roman" w:cs="Times New Roman"/>
                <w:sz w:val="21"/>
                <w:szCs w:val="21"/>
                <w:lang w:eastAsia="en-GB"/>
              </w:rPr>
              <w:t xml:space="preserve">New Caledonia </w:t>
            </w:r>
          </w:p>
        </w:tc>
        <w:tc>
          <w:tcPr>
            <w:tcW w:w="724" w:type="pct"/>
            <w:shd w:val="clear" w:color="auto" w:fill="auto"/>
            <w:vAlign w:val="center"/>
          </w:tcPr>
          <w:p w:rsidR="00547638" w:rsidRPr="00A90777" w:rsidRDefault="00804CBA"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i/>
                <w:iCs/>
                <w:sz w:val="21"/>
                <w:szCs w:val="21"/>
              </w:rPr>
            </w:pPr>
          </w:p>
        </w:tc>
        <w:tc>
          <w:tcPr>
            <w:tcW w:w="482"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p>
        </w:tc>
        <w:tc>
          <w:tcPr>
            <w:tcW w:w="578"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1990</w:t>
            </w:r>
          </w:p>
        </w:tc>
        <w:tc>
          <w:tcPr>
            <w:tcW w:w="531"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tcPr>
          <w:p w:rsidR="00547638" w:rsidRPr="00A90777" w:rsidRDefault="00547638" w:rsidP="00547638">
            <w:pPr>
              <w:spacing w:after="0" w:line="240" w:lineRule="auto"/>
              <w:ind w:left="720"/>
              <w:rPr>
                <w:rFonts w:eastAsia="Times New Roman" w:cs="Times New Roman"/>
                <w:sz w:val="21"/>
                <w:szCs w:val="21"/>
                <w:lang w:eastAsia="en-GB"/>
              </w:rPr>
            </w:pPr>
            <w:r w:rsidRPr="00A90777">
              <w:rPr>
                <w:rFonts w:ascii="Calibri" w:eastAsia="Times New Roman" w:hAnsi="Calibri" w:cs="Times New Roman"/>
                <w:sz w:val="21"/>
                <w:szCs w:val="21"/>
              </w:rPr>
              <w:t xml:space="preserve">La </w:t>
            </w:r>
            <w:proofErr w:type="spellStart"/>
            <w:r w:rsidRPr="00A90777">
              <w:rPr>
                <w:rFonts w:ascii="Calibri" w:eastAsia="Times New Roman" w:hAnsi="Calibri" w:cs="Times New Roman"/>
                <w:sz w:val="21"/>
                <w:szCs w:val="21"/>
              </w:rPr>
              <w:t>Réunion</w:t>
            </w:r>
            <w:proofErr w:type="spellEnd"/>
          </w:p>
        </w:tc>
        <w:tc>
          <w:tcPr>
            <w:tcW w:w="724"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p>
        </w:tc>
        <w:tc>
          <w:tcPr>
            <w:tcW w:w="578"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tcBorders>
              <w:bottom w:val="single" w:sz="4" w:space="0" w:color="auto"/>
            </w:tcBorders>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tcPr>
          <w:p w:rsidR="00547638" w:rsidRPr="00A90777" w:rsidRDefault="00547638" w:rsidP="00547638">
            <w:pPr>
              <w:spacing w:after="0" w:line="240" w:lineRule="auto"/>
              <w:ind w:left="720"/>
              <w:rPr>
                <w:rFonts w:eastAsia="Times New Roman" w:cs="Times New Roman"/>
                <w:sz w:val="21"/>
                <w:szCs w:val="21"/>
                <w:lang w:eastAsia="en-GB"/>
              </w:rPr>
            </w:pPr>
            <w:r w:rsidRPr="00A90777">
              <w:rPr>
                <w:rFonts w:eastAsia="Times New Roman" w:cs="Times New Roman"/>
                <w:sz w:val="21"/>
                <w:szCs w:val="21"/>
                <w:lang w:eastAsia="en-GB"/>
              </w:rPr>
              <w:t>Wallis and Futuna</w:t>
            </w:r>
          </w:p>
        </w:tc>
        <w:tc>
          <w:tcPr>
            <w:tcW w:w="724" w:type="pct"/>
            <w:shd w:val="clear" w:color="auto" w:fill="auto"/>
            <w:vAlign w:val="center"/>
          </w:tcPr>
          <w:p w:rsidR="00547638" w:rsidRPr="00A90777" w:rsidRDefault="00804CBA"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p>
        </w:tc>
        <w:tc>
          <w:tcPr>
            <w:tcW w:w="482"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p>
        </w:tc>
        <w:tc>
          <w:tcPr>
            <w:tcW w:w="578"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1990</w:t>
            </w:r>
          </w:p>
        </w:tc>
        <w:tc>
          <w:tcPr>
            <w:tcW w:w="531"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tcBorders>
              <w:left w:val="nil"/>
            </w:tcBorders>
            <w:shd w:val="clear" w:color="auto" w:fill="auto"/>
            <w:vAlign w:val="center"/>
          </w:tcPr>
          <w:p w:rsidR="00547638" w:rsidRPr="00A90777" w:rsidRDefault="00547638" w:rsidP="00547638">
            <w:pPr>
              <w:pStyle w:val="ListParagraph"/>
              <w:ind w:left="360"/>
              <w:rPr>
                <w:rFonts w:eastAsia="Times New Roman" w:cs="Times New Roman"/>
                <w:sz w:val="21"/>
                <w:szCs w:val="21"/>
                <w:lang w:eastAsia="en-GB"/>
              </w:rPr>
            </w:pPr>
          </w:p>
        </w:tc>
        <w:tc>
          <w:tcPr>
            <w:tcW w:w="4826" w:type="pct"/>
            <w:gridSpan w:val="8"/>
            <w:shd w:val="clear" w:color="auto" w:fill="auto"/>
            <w:noWrap/>
            <w:vAlign w:val="center"/>
          </w:tcPr>
          <w:p w:rsidR="00547638" w:rsidRPr="00A90777" w:rsidRDefault="00547638" w:rsidP="00547638">
            <w:pPr>
              <w:spacing w:after="0" w:line="240" w:lineRule="auto"/>
              <w:rPr>
                <w:rFonts w:eastAsia="Times New Roman" w:cs="Times New Roman"/>
                <w:sz w:val="21"/>
                <w:szCs w:val="21"/>
                <w:lang w:eastAsia="en-GB"/>
              </w:rPr>
            </w:pPr>
            <w:r w:rsidRPr="00A90777">
              <w:rPr>
                <w:i/>
                <w:iCs/>
                <w:sz w:val="21"/>
                <w:szCs w:val="21"/>
              </w:rPr>
              <w:t>French Guiana and French Polynesia: see under France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Gabon</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ind w:firstLineChars="300" w:firstLine="630"/>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2015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 xml:space="preserve">Gambia, Republic of the </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ind w:firstLineChars="300" w:firstLine="630"/>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Georgia</w:t>
            </w:r>
          </w:p>
        </w:tc>
        <w:tc>
          <w:tcPr>
            <w:tcW w:w="724"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1987</w:t>
            </w:r>
          </w:p>
        </w:tc>
        <w:tc>
          <w:tcPr>
            <w:tcW w:w="481" w:type="pct"/>
            <w:shd w:val="clear" w:color="auto" w:fill="auto"/>
            <w:noWrap/>
            <w:vAlign w:val="center"/>
          </w:tcPr>
          <w:p w:rsidR="00547638" w:rsidRPr="00A90777" w:rsidRDefault="00547638" w:rsidP="00C27D0E">
            <w:pPr>
              <w:ind w:firstLineChars="300" w:firstLine="630"/>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2015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Germany</w:t>
            </w:r>
          </w:p>
        </w:tc>
        <w:tc>
          <w:tcPr>
            <w:tcW w:w="724"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1990</w:t>
            </w:r>
          </w:p>
        </w:tc>
        <w:tc>
          <w:tcPr>
            <w:tcW w:w="481" w:type="pct"/>
            <w:shd w:val="clear" w:color="auto" w:fill="auto"/>
            <w:noWrap/>
            <w:vAlign w:val="center"/>
          </w:tcPr>
          <w:p w:rsidR="00547638" w:rsidRPr="00A90777" w:rsidRDefault="00547638" w:rsidP="00C27D0E">
            <w:pPr>
              <w:jc w:val="center"/>
              <w:rPr>
                <w:i/>
                <w:iCs/>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1962</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February 2014</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1998</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Ghana</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2017</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Greece</w:t>
            </w:r>
          </w:p>
        </w:tc>
        <w:tc>
          <w:tcPr>
            <w:tcW w:w="724"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1995</w:t>
            </w:r>
          </w:p>
        </w:tc>
        <w:tc>
          <w:tcPr>
            <w:tcW w:w="481" w:type="pct"/>
            <w:shd w:val="clear" w:color="auto" w:fill="auto"/>
            <w:noWrap/>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2003</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2004</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tcBorders>
              <w:bottom w:val="single" w:sz="4" w:space="0" w:color="auto"/>
            </w:tcBorders>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Grenada</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1956</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June 2015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tcBorders>
              <w:left w:val="nil"/>
            </w:tcBorders>
            <w:shd w:val="clear" w:color="auto" w:fill="auto"/>
            <w:vAlign w:val="center"/>
          </w:tcPr>
          <w:p w:rsidR="00547638" w:rsidRPr="00A90777" w:rsidRDefault="00547638" w:rsidP="00C3162D">
            <w:pPr>
              <w:rPr>
                <w:rFonts w:eastAsia="Times New Roman" w:cs="Times New Roman"/>
                <w:sz w:val="10"/>
                <w:szCs w:val="21"/>
                <w:lang w:eastAsia="en-GB"/>
              </w:rPr>
            </w:pPr>
          </w:p>
        </w:tc>
        <w:tc>
          <w:tcPr>
            <w:tcW w:w="4826" w:type="pct"/>
            <w:gridSpan w:val="8"/>
            <w:shd w:val="clear" w:color="auto" w:fill="auto"/>
            <w:vAlign w:val="center"/>
            <w:hideMark/>
          </w:tcPr>
          <w:p w:rsidR="00547638" w:rsidRPr="00A90777" w:rsidRDefault="00547638" w:rsidP="00547638">
            <w:pPr>
              <w:spacing w:after="0" w:line="240" w:lineRule="auto"/>
              <w:rPr>
                <w:i/>
                <w:iCs/>
                <w:sz w:val="21"/>
                <w:szCs w:val="21"/>
              </w:rPr>
            </w:pPr>
            <w:r w:rsidRPr="00A90777">
              <w:rPr>
                <w:i/>
                <w:iCs/>
                <w:sz w:val="21"/>
                <w:szCs w:val="21"/>
              </w:rPr>
              <w:t>Guadeloupe: see under France</w:t>
            </w:r>
          </w:p>
          <w:p w:rsidR="00547638" w:rsidRPr="00A90777" w:rsidRDefault="00547638" w:rsidP="00C3162D">
            <w:pPr>
              <w:spacing w:after="0" w:line="240" w:lineRule="auto"/>
              <w:rPr>
                <w:rFonts w:eastAsia="Times New Roman" w:cs="Times New Roman"/>
                <w:sz w:val="21"/>
                <w:szCs w:val="21"/>
                <w:lang w:eastAsia="en-GB"/>
              </w:rPr>
            </w:pPr>
            <w:r w:rsidRPr="00A90777">
              <w:rPr>
                <w:i/>
                <w:iCs/>
                <w:sz w:val="21"/>
                <w:szCs w:val="21"/>
              </w:rPr>
              <w:t>Guam: see under the United States of America</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Guatemala</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1988</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January 2016</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Guinea</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November 2015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2015</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Guinea-Bissau</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i/>
                <w:iCs/>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July 2016</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Guyana</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1963</w:t>
            </w:r>
          </w:p>
        </w:tc>
        <w:tc>
          <w:tcPr>
            <w:tcW w:w="481" w:type="pct"/>
            <w:shd w:val="clear" w:color="auto" w:fill="auto"/>
            <w:vAlign w:val="center"/>
          </w:tcPr>
          <w:p w:rsidR="00547638" w:rsidRPr="00A90777" w:rsidRDefault="00547638" w:rsidP="00C27D0E">
            <w:pPr>
              <w:jc w:val="center"/>
              <w:rPr>
                <w:i/>
                <w:iCs/>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September 2015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Haiti</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1990</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January 2016</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tcBorders>
              <w:bottom w:val="single" w:sz="4" w:space="0" w:color="auto"/>
            </w:tcBorders>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Honduras</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1988</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2015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3162D">
        <w:trPr>
          <w:trHeight w:val="510"/>
        </w:trPr>
        <w:tc>
          <w:tcPr>
            <w:tcW w:w="174" w:type="pct"/>
            <w:tcBorders>
              <w:left w:val="nil"/>
            </w:tcBorders>
            <w:shd w:val="clear" w:color="auto" w:fill="auto"/>
            <w:vAlign w:val="center"/>
          </w:tcPr>
          <w:p w:rsidR="00547638" w:rsidRPr="00A90777" w:rsidRDefault="00547638" w:rsidP="00547638">
            <w:pPr>
              <w:jc w:val="center"/>
              <w:rPr>
                <w:rFonts w:eastAsia="Times New Roman" w:cs="Times New Roman"/>
                <w:sz w:val="21"/>
                <w:szCs w:val="21"/>
                <w:lang w:eastAsia="en-GB"/>
              </w:rPr>
            </w:pPr>
          </w:p>
        </w:tc>
        <w:tc>
          <w:tcPr>
            <w:tcW w:w="4826" w:type="pct"/>
            <w:gridSpan w:val="8"/>
            <w:shd w:val="clear" w:color="auto" w:fill="auto"/>
            <w:noWrap/>
            <w:vAlign w:val="center"/>
          </w:tcPr>
          <w:p w:rsidR="00547638" w:rsidRPr="00A90777" w:rsidRDefault="00547638" w:rsidP="00547638">
            <w:pPr>
              <w:spacing w:after="0" w:line="240" w:lineRule="auto"/>
              <w:rPr>
                <w:rFonts w:eastAsia="Times New Roman" w:cs="Times New Roman"/>
                <w:sz w:val="21"/>
                <w:szCs w:val="21"/>
                <w:lang w:eastAsia="en-GB"/>
              </w:rPr>
            </w:pPr>
            <w:r w:rsidRPr="00A90777">
              <w:rPr>
                <w:i/>
                <w:iCs/>
                <w:sz w:val="21"/>
                <w:szCs w:val="21"/>
              </w:rPr>
              <w:t>Hong Kong, SAR China: see under China</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Hungary</w:t>
            </w:r>
          </w:p>
        </w:tc>
        <w:tc>
          <w:tcPr>
            <w:tcW w:w="724"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1959</w:t>
            </w:r>
          </w:p>
        </w:tc>
        <w:tc>
          <w:tcPr>
            <w:tcW w:w="481" w:type="pct"/>
            <w:shd w:val="clear" w:color="auto" w:fill="auto"/>
            <w:noWrap/>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1959</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Iceland</w:t>
            </w:r>
          </w:p>
        </w:tc>
        <w:tc>
          <w:tcPr>
            <w:tcW w:w="724"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1960</w:t>
            </w:r>
          </w:p>
        </w:tc>
        <w:tc>
          <w:tcPr>
            <w:tcW w:w="481" w:type="pct"/>
            <w:shd w:val="clear" w:color="auto" w:fill="auto"/>
            <w:noWrap/>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1995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never used</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India</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1999</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November 2015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January 2010</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Indonesia</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1999</w:t>
            </w:r>
          </w:p>
        </w:tc>
        <w:tc>
          <w:tcPr>
            <w:tcW w:w="481" w:type="pct"/>
            <w:shd w:val="clear" w:color="auto" w:fill="auto"/>
            <w:vAlign w:val="center"/>
          </w:tcPr>
          <w:p w:rsidR="00547638" w:rsidRPr="00A90777" w:rsidRDefault="00547638" w:rsidP="00C27D0E">
            <w:pPr>
              <w:jc w:val="center"/>
              <w:rPr>
                <w:i/>
                <w:iCs/>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July 2016</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Iran, Islamic Republic of</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1995</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September 2015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Iraq</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January 2016</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Ireland</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1982</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1957</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July 2001</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tcBorders>
              <w:bottom w:val="single" w:sz="4" w:space="0" w:color="auto"/>
            </w:tcBorders>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Israel</w:t>
            </w:r>
          </w:p>
        </w:tc>
        <w:tc>
          <w:tcPr>
            <w:tcW w:w="724"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1983</w:t>
            </w:r>
          </w:p>
        </w:tc>
        <w:tc>
          <w:tcPr>
            <w:tcW w:w="481" w:type="pct"/>
            <w:shd w:val="clear" w:color="auto" w:fill="auto"/>
            <w:noWrap/>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1998</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2004</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tcBorders>
              <w:left w:val="nil"/>
            </w:tcBorders>
            <w:shd w:val="clear" w:color="auto" w:fill="auto"/>
            <w:vAlign w:val="center"/>
          </w:tcPr>
          <w:p w:rsidR="00547638" w:rsidRPr="00A90777" w:rsidRDefault="00547638" w:rsidP="00547638">
            <w:pPr>
              <w:pStyle w:val="ListParagraph"/>
              <w:ind w:left="360"/>
              <w:rPr>
                <w:rFonts w:eastAsia="Times New Roman" w:cs="Times New Roman"/>
                <w:sz w:val="21"/>
                <w:szCs w:val="21"/>
                <w:lang w:eastAsia="en-GB"/>
              </w:rPr>
            </w:pPr>
          </w:p>
        </w:tc>
        <w:tc>
          <w:tcPr>
            <w:tcW w:w="4826" w:type="pct"/>
            <w:gridSpan w:val="8"/>
            <w:shd w:val="clear" w:color="auto" w:fill="auto"/>
            <w:noWrap/>
            <w:vAlign w:val="center"/>
          </w:tcPr>
          <w:p w:rsidR="00547638" w:rsidRPr="00A90777" w:rsidRDefault="00547638" w:rsidP="00547638">
            <w:pPr>
              <w:spacing w:after="0" w:line="240" w:lineRule="auto"/>
              <w:rPr>
                <w:rFonts w:eastAsia="Times New Roman" w:cs="Times New Roman"/>
                <w:i/>
                <w:sz w:val="21"/>
                <w:szCs w:val="21"/>
                <w:lang w:eastAsia="en-GB"/>
              </w:rPr>
            </w:pPr>
            <w:r w:rsidRPr="00A90777">
              <w:rPr>
                <w:rFonts w:eastAsia="Times New Roman" w:cs="Times New Roman"/>
                <w:i/>
                <w:sz w:val="21"/>
                <w:szCs w:val="21"/>
                <w:lang w:eastAsia="en-GB"/>
              </w:rPr>
              <w:t>Ivory Coast: see Cote d'Ivoire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Italy</w:t>
            </w:r>
          </w:p>
        </w:tc>
        <w:tc>
          <w:tcPr>
            <w:tcW w:w="724"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1980</w:t>
            </w:r>
          </w:p>
        </w:tc>
        <w:tc>
          <w:tcPr>
            <w:tcW w:w="481" w:type="pct"/>
            <w:shd w:val="clear" w:color="auto" w:fill="auto"/>
            <w:noWrap/>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1958</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August 2002</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Jamaica</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1983</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September 2015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Japan</w:t>
            </w:r>
          </w:p>
        </w:tc>
        <w:tc>
          <w:tcPr>
            <w:tcW w:w="724"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1962</w:t>
            </w:r>
          </w:p>
        </w:tc>
        <w:tc>
          <w:tcPr>
            <w:tcW w:w="481" w:type="pct"/>
            <w:shd w:val="clear" w:color="auto" w:fill="auto"/>
            <w:noWrap/>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2012</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September 2012</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Jordan</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2005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Kazakhstan</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1980</w:t>
            </w:r>
          </w:p>
        </w:tc>
        <w:tc>
          <w:tcPr>
            <w:tcW w:w="481" w:type="pct"/>
            <w:shd w:val="clear" w:color="auto" w:fill="auto"/>
            <w:vAlign w:val="center"/>
          </w:tcPr>
          <w:p w:rsidR="00547638" w:rsidRPr="00A90777" w:rsidRDefault="00547638" w:rsidP="00C27D0E">
            <w:pPr>
              <w:jc w:val="center"/>
              <w:rPr>
                <w:i/>
                <w:iCs/>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July 2013</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Kenya</w:t>
            </w:r>
          </w:p>
        </w:tc>
        <w:tc>
          <w:tcPr>
            <w:tcW w:w="724"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1984</w:t>
            </w:r>
          </w:p>
        </w:tc>
        <w:tc>
          <w:tcPr>
            <w:tcW w:w="481" w:type="pct"/>
            <w:shd w:val="clear" w:color="auto" w:fill="auto"/>
            <w:noWrap/>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2015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August 2012</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tcBorders>
              <w:bottom w:val="single" w:sz="4" w:space="0" w:color="auto"/>
            </w:tcBorders>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Kiribati</w:t>
            </w:r>
          </w:p>
        </w:tc>
        <w:tc>
          <w:tcPr>
            <w:tcW w:w="724" w:type="pct"/>
            <w:shd w:val="clear" w:color="auto" w:fill="auto"/>
            <w:noWrap/>
            <w:vAlign w:val="center"/>
            <w:hideMark/>
          </w:tcPr>
          <w:p w:rsidR="00547638" w:rsidRPr="00A90777" w:rsidRDefault="00804CBA"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noWrap/>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June 2015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tcBorders>
              <w:left w:val="nil"/>
            </w:tcBorders>
            <w:shd w:val="clear" w:color="auto" w:fill="auto"/>
            <w:vAlign w:val="center"/>
          </w:tcPr>
          <w:p w:rsidR="00547638" w:rsidRPr="00A90777" w:rsidRDefault="00547638" w:rsidP="00547638">
            <w:pPr>
              <w:rPr>
                <w:rFonts w:eastAsia="Times New Roman" w:cs="Times New Roman"/>
                <w:sz w:val="21"/>
                <w:szCs w:val="21"/>
                <w:lang w:eastAsia="en-GB"/>
              </w:rPr>
            </w:pPr>
          </w:p>
        </w:tc>
        <w:tc>
          <w:tcPr>
            <w:tcW w:w="4826" w:type="pct"/>
            <w:gridSpan w:val="8"/>
            <w:shd w:val="clear" w:color="auto" w:fill="auto"/>
            <w:noWrap/>
            <w:vAlign w:val="center"/>
          </w:tcPr>
          <w:p w:rsidR="00547638" w:rsidRPr="00A90777" w:rsidRDefault="00547638" w:rsidP="00547638">
            <w:pPr>
              <w:spacing w:after="0" w:line="240" w:lineRule="auto"/>
              <w:rPr>
                <w:rFonts w:eastAsia="Times New Roman" w:cs="Times New Roman"/>
                <w:sz w:val="21"/>
                <w:szCs w:val="21"/>
                <w:lang w:eastAsia="en-GB"/>
              </w:rPr>
            </w:pPr>
            <w:r w:rsidRPr="00A90777">
              <w:rPr>
                <w:i/>
                <w:iCs/>
                <w:sz w:val="21"/>
                <w:szCs w:val="21"/>
              </w:rPr>
              <w:t xml:space="preserve">Korea: see Democratic People's Republic of Korea or Republic of Korea </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Kuwait</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2010</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Kyrgyzstan</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1992</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2017</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Lao People's Democratic Republic</w:t>
            </w:r>
          </w:p>
        </w:tc>
        <w:tc>
          <w:tcPr>
            <w:tcW w:w="724"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1993</w:t>
            </w:r>
          </w:p>
        </w:tc>
        <w:tc>
          <w:tcPr>
            <w:tcW w:w="481" w:type="pct"/>
            <w:shd w:val="clear" w:color="auto" w:fill="auto"/>
            <w:noWrap/>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October 2015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Latvia</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1963</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1993</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2006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Lebanon</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2011</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Lesotho</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i/>
                <w:iCs/>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Liberia</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2017</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Libya</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2014</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Lithuania</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1972</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1995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November 2006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tcBorders>
              <w:bottom w:val="single" w:sz="4" w:space="0" w:color="auto"/>
            </w:tcBorders>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Luxembourg</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1963</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2003</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1998</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tcBorders>
              <w:left w:val="nil"/>
            </w:tcBorders>
            <w:shd w:val="clear" w:color="auto" w:fill="auto"/>
            <w:vAlign w:val="center"/>
          </w:tcPr>
          <w:p w:rsidR="00547638" w:rsidRPr="00A90777" w:rsidRDefault="00547638" w:rsidP="00547638">
            <w:pPr>
              <w:pStyle w:val="ListParagraph"/>
              <w:ind w:left="360"/>
              <w:rPr>
                <w:rFonts w:eastAsia="Times New Roman" w:cs="Times New Roman"/>
                <w:sz w:val="21"/>
                <w:szCs w:val="21"/>
                <w:lang w:eastAsia="en-GB"/>
              </w:rPr>
            </w:pPr>
          </w:p>
        </w:tc>
        <w:tc>
          <w:tcPr>
            <w:tcW w:w="4826" w:type="pct"/>
            <w:gridSpan w:val="8"/>
            <w:shd w:val="clear" w:color="auto" w:fill="auto"/>
            <w:noWrap/>
            <w:vAlign w:val="center"/>
            <w:hideMark/>
          </w:tcPr>
          <w:p w:rsidR="00547638" w:rsidRPr="00A90777" w:rsidRDefault="00547638" w:rsidP="00547638">
            <w:pPr>
              <w:spacing w:after="0" w:line="240" w:lineRule="auto"/>
              <w:rPr>
                <w:i/>
                <w:iCs/>
                <w:sz w:val="21"/>
                <w:szCs w:val="21"/>
              </w:rPr>
            </w:pPr>
            <w:r w:rsidRPr="00A90777">
              <w:rPr>
                <w:i/>
                <w:iCs/>
                <w:sz w:val="21"/>
                <w:szCs w:val="21"/>
              </w:rPr>
              <w:t>Macao, SAR China: see under China</w:t>
            </w:r>
          </w:p>
          <w:p w:rsidR="00547638" w:rsidRPr="00A90777" w:rsidRDefault="00547638" w:rsidP="00547638">
            <w:pPr>
              <w:spacing w:after="0" w:line="240" w:lineRule="auto"/>
              <w:rPr>
                <w:rFonts w:eastAsia="Times New Roman" w:cs="Times New Roman"/>
                <w:sz w:val="21"/>
                <w:szCs w:val="21"/>
                <w:lang w:eastAsia="en-GB"/>
              </w:rPr>
            </w:pPr>
            <w:r w:rsidRPr="00A90777">
              <w:rPr>
                <w:i/>
                <w:iCs/>
                <w:sz w:val="21"/>
                <w:szCs w:val="21"/>
              </w:rPr>
              <w:t>Macedonia: see the former Yugoslav Republic of Macedonia</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Madagascar</w:t>
            </w:r>
          </w:p>
        </w:tc>
        <w:tc>
          <w:tcPr>
            <w:tcW w:w="724"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1995</w:t>
            </w:r>
          </w:p>
        </w:tc>
        <w:tc>
          <w:tcPr>
            <w:tcW w:w="481" w:type="pct"/>
            <w:shd w:val="clear" w:color="auto" w:fill="auto"/>
            <w:noWrap/>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May 2015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July 2005</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Malawi</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2017</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Malaysia</w:t>
            </w:r>
          </w:p>
        </w:tc>
        <w:tc>
          <w:tcPr>
            <w:tcW w:w="724"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1974</w:t>
            </w:r>
          </w:p>
        </w:tc>
        <w:tc>
          <w:tcPr>
            <w:tcW w:w="481" w:type="pct"/>
            <w:shd w:val="clear" w:color="auto" w:fill="auto"/>
            <w:noWrap/>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2009</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2015</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Maldives</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1999</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2015-03</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Mali</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March 2016</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Malta</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1964</w:t>
            </w:r>
          </w:p>
        </w:tc>
        <w:tc>
          <w:tcPr>
            <w:tcW w:w="481" w:type="pct"/>
            <w:shd w:val="clear" w:color="auto" w:fill="auto"/>
            <w:vAlign w:val="center"/>
          </w:tcPr>
          <w:p w:rsidR="00547638" w:rsidRPr="00A90777" w:rsidRDefault="00547638" w:rsidP="00C27D0E">
            <w:pPr>
              <w:jc w:val="center"/>
              <w:rPr>
                <w:i/>
                <w:iCs/>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2010</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September 2010</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tcBorders>
              <w:bottom w:val="single" w:sz="4" w:space="0" w:color="auto"/>
            </w:tcBorders>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Marshall Islands</w:t>
            </w:r>
          </w:p>
        </w:tc>
        <w:tc>
          <w:tcPr>
            <w:tcW w:w="724" w:type="pct"/>
            <w:shd w:val="clear" w:color="auto" w:fill="auto"/>
            <w:vAlign w:val="center"/>
            <w:hideMark/>
          </w:tcPr>
          <w:p w:rsidR="00547638" w:rsidRPr="00A90777" w:rsidRDefault="00804CBA"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hideMark/>
          </w:tcPr>
          <w:p w:rsidR="00547638" w:rsidRPr="00A90777" w:rsidRDefault="00547638" w:rsidP="00C27D0E">
            <w:pPr>
              <w:jc w:val="center"/>
              <w:rPr>
                <w:i/>
                <w:iCs/>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2010</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2014</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tcBorders>
              <w:left w:val="nil"/>
            </w:tcBorders>
            <w:shd w:val="clear" w:color="auto" w:fill="auto"/>
            <w:vAlign w:val="center"/>
          </w:tcPr>
          <w:p w:rsidR="00547638" w:rsidRPr="00A90777" w:rsidRDefault="00547638" w:rsidP="00547638">
            <w:pPr>
              <w:pStyle w:val="ListParagraph"/>
              <w:ind w:left="360"/>
              <w:rPr>
                <w:rFonts w:eastAsia="Times New Roman" w:cs="Times New Roman"/>
                <w:sz w:val="21"/>
                <w:szCs w:val="21"/>
                <w:lang w:eastAsia="en-GB"/>
              </w:rPr>
            </w:pPr>
          </w:p>
        </w:tc>
        <w:tc>
          <w:tcPr>
            <w:tcW w:w="4826" w:type="pct"/>
            <w:gridSpan w:val="8"/>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i/>
                <w:iCs/>
                <w:sz w:val="21"/>
                <w:szCs w:val="21"/>
              </w:rPr>
              <w:t>Martinique: see under France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Mauritania</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November 2015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Mauritius</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November 2015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Mexico</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1987</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2008</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2010</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2006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February 2016</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tcBorders>
              <w:bottom w:val="single" w:sz="4" w:space="0" w:color="auto"/>
            </w:tcBorders>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 xml:space="preserve">Micronesia,  Federated States of </w:t>
            </w:r>
          </w:p>
        </w:tc>
        <w:tc>
          <w:tcPr>
            <w:tcW w:w="724" w:type="pct"/>
            <w:shd w:val="clear" w:color="auto" w:fill="auto"/>
            <w:vAlign w:val="center"/>
          </w:tcPr>
          <w:p w:rsidR="00547638" w:rsidRPr="00A90777" w:rsidRDefault="00804CBA"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ind w:firstLineChars="300" w:firstLine="630"/>
              <w:jc w:val="center"/>
              <w:rPr>
                <w:sz w:val="21"/>
                <w:szCs w:val="21"/>
              </w:rPr>
            </w:pPr>
          </w:p>
        </w:tc>
        <w:tc>
          <w:tcPr>
            <w:tcW w:w="482"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August 2013</w:t>
            </w:r>
          </w:p>
        </w:tc>
        <w:tc>
          <w:tcPr>
            <w:tcW w:w="578"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2013</w:t>
            </w:r>
          </w:p>
        </w:tc>
        <w:tc>
          <w:tcPr>
            <w:tcW w:w="531"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tcBorders>
              <w:left w:val="nil"/>
            </w:tcBorders>
            <w:shd w:val="clear" w:color="auto" w:fill="auto"/>
            <w:vAlign w:val="center"/>
          </w:tcPr>
          <w:p w:rsidR="00547638" w:rsidRPr="00A90777" w:rsidRDefault="00547638" w:rsidP="00547638">
            <w:pPr>
              <w:pStyle w:val="ListParagraph"/>
              <w:ind w:left="360"/>
              <w:rPr>
                <w:rFonts w:eastAsia="Times New Roman" w:cs="Times New Roman"/>
                <w:sz w:val="21"/>
                <w:szCs w:val="21"/>
                <w:lang w:eastAsia="en-GB"/>
              </w:rPr>
            </w:pPr>
          </w:p>
        </w:tc>
        <w:tc>
          <w:tcPr>
            <w:tcW w:w="4826" w:type="pct"/>
            <w:gridSpan w:val="8"/>
            <w:shd w:val="clear" w:color="auto" w:fill="auto"/>
            <w:vAlign w:val="center"/>
          </w:tcPr>
          <w:p w:rsidR="00547638" w:rsidRPr="00A90777" w:rsidRDefault="00547638" w:rsidP="00547638">
            <w:pPr>
              <w:spacing w:after="0" w:line="240" w:lineRule="auto"/>
              <w:rPr>
                <w:rFonts w:eastAsia="Times New Roman" w:cs="Times New Roman"/>
                <w:sz w:val="21"/>
                <w:szCs w:val="21"/>
                <w:lang w:eastAsia="en-GB"/>
              </w:rPr>
            </w:pPr>
            <w:r w:rsidRPr="00A90777">
              <w:rPr>
                <w:i/>
                <w:iCs/>
                <w:sz w:val="21"/>
                <w:szCs w:val="21"/>
              </w:rPr>
              <w:t>Moldova: See Republic of Moldova</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Monaco</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1964</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1964</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Mongolia</w:t>
            </w:r>
          </w:p>
        </w:tc>
        <w:tc>
          <w:tcPr>
            <w:tcW w:w="724" w:type="pct"/>
            <w:shd w:val="clear" w:color="auto" w:fill="auto"/>
            <w:vAlign w:val="center"/>
            <w:hideMark/>
          </w:tcPr>
          <w:p w:rsidR="00547638" w:rsidRPr="00A90777" w:rsidRDefault="00804CBA"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2017</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tcBorders>
              <w:bottom w:val="single" w:sz="4" w:space="0" w:color="auto"/>
            </w:tcBorders>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Montenegro</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May 1990</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2011</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tcBorders>
              <w:left w:val="nil"/>
            </w:tcBorders>
            <w:shd w:val="clear" w:color="auto" w:fill="auto"/>
            <w:vAlign w:val="center"/>
          </w:tcPr>
          <w:p w:rsidR="00547638" w:rsidRPr="00A90777" w:rsidRDefault="00547638" w:rsidP="00547638">
            <w:pPr>
              <w:rPr>
                <w:rFonts w:eastAsia="Times New Roman" w:cs="Times New Roman"/>
                <w:sz w:val="21"/>
                <w:szCs w:val="21"/>
                <w:lang w:eastAsia="en-GB"/>
              </w:rPr>
            </w:pPr>
          </w:p>
        </w:tc>
        <w:tc>
          <w:tcPr>
            <w:tcW w:w="4826" w:type="pct"/>
            <w:gridSpan w:val="8"/>
            <w:shd w:val="clear" w:color="auto" w:fill="auto"/>
            <w:vAlign w:val="center"/>
          </w:tcPr>
          <w:p w:rsidR="00547638" w:rsidRPr="00A90777" w:rsidRDefault="00547638" w:rsidP="00547638">
            <w:pPr>
              <w:spacing w:after="0" w:line="240" w:lineRule="auto"/>
              <w:rPr>
                <w:rFonts w:eastAsia="Times New Roman" w:cs="Times New Roman"/>
                <w:sz w:val="21"/>
                <w:szCs w:val="21"/>
                <w:lang w:eastAsia="en-GB"/>
              </w:rPr>
            </w:pPr>
            <w:r w:rsidRPr="00A90777">
              <w:rPr>
                <w:i/>
                <w:iCs/>
                <w:sz w:val="21"/>
                <w:szCs w:val="21"/>
              </w:rPr>
              <w:t>Montserrat: see under the United Kingdom of Great Britain and Northern Ireland</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Morocco</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2015-06</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Mozambique</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2015-11</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May 2017</w:t>
            </w:r>
            <w:r w:rsidRPr="00A90777">
              <w:rPr>
                <w:rFonts w:eastAsia="Times New Roman" w:cs="Times New Roman"/>
                <w:sz w:val="21"/>
                <w:szCs w:val="21"/>
                <w:vertAlign w:val="superscript"/>
                <w:lang w:eastAsia="en-GB"/>
              </w:rPr>
              <w:t>7</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Myanmar</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2015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October 2015</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Namibia</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2015-11</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Nauru</w:t>
            </w:r>
          </w:p>
        </w:tc>
        <w:tc>
          <w:tcPr>
            <w:tcW w:w="724" w:type="pct"/>
            <w:shd w:val="clear" w:color="auto" w:fill="auto"/>
            <w:vAlign w:val="center"/>
            <w:hideMark/>
          </w:tcPr>
          <w:p w:rsidR="00547638" w:rsidRPr="00A90777" w:rsidRDefault="00804CBA"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i/>
                <w:iCs/>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2015-10</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Nepal</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2014-09</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Netherlands</w:t>
            </w:r>
          </w:p>
        </w:tc>
        <w:tc>
          <w:tcPr>
            <w:tcW w:w="724"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1983</w:t>
            </w:r>
          </w:p>
        </w:tc>
        <w:tc>
          <w:tcPr>
            <w:tcW w:w="481" w:type="pct"/>
            <w:shd w:val="clear" w:color="auto" w:fill="auto"/>
            <w:noWrap/>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1957</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Never used</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1993</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tcPr>
          <w:p w:rsidR="00547638" w:rsidRPr="00A90777" w:rsidRDefault="00547638" w:rsidP="00547638">
            <w:pPr>
              <w:spacing w:after="0" w:line="240" w:lineRule="auto"/>
              <w:ind w:left="720"/>
              <w:rPr>
                <w:rFonts w:eastAsia="Times New Roman" w:cs="Times New Roman"/>
                <w:sz w:val="21"/>
                <w:szCs w:val="21"/>
                <w:lang w:eastAsia="en-GB"/>
              </w:rPr>
            </w:pPr>
            <w:r w:rsidRPr="00A90777">
              <w:rPr>
                <w:rFonts w:eastAsia="Times New Roman" w:cs="Times New Roman"/>
                <w:sz w:val="21"/>
                <w:szCs w:val="21"/>
                <w:lang w:eastAsia="en-GB"/>
              </w:rPr>
              <w:t>Aruba</w:t>
            </w:r>
          </w:p>
        </w:tc>
        <w:tc>
          <w:tcPr>
            <w:tcW w:w="724"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1982</w:t>
            </w:r>
          </w:p>
        </w:tc>
        <w:tc>
          <w:tcPr>
            <w:tcW w:w="481" w:type="pct"/>
            <w:shd w:val="clear" w:color="auto" w:fill="auto"/>
            <w:noWrap/>
            <w:vAlign w:val="center"/>
          </w:tcPr>
          <w:p w:rsidR="00547638" w:rsidRPr="00A90777" w:rsidRDefault="00547638" w:rsidP="00C27D0E">
            <w:pPr>
              <w:jc w:val="center"/>
              <w:rPr>
                <w:sz w:val="21"/>
                <w:szCs w:val="21"/>
              </w:rPr>
            </w:pPr>
          </w:p>
        </w:tc>
        <w:tc>
          <w:tcPr>
            <w:tcW w:w="482"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p>
        </w:tc>
        <w:tc>
          <w:tcPr>
            <w:tcW w:w="578"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tcPr>
          <w:p w:rsidR="00547638" w:rsidRPr="00A90777" w:rsidRDefault="00547638" w:rsidP="00547638">
            <w:pPr>
              <w:spacing w:after="0" w:line="240" w:lineRule="auto"/>
              <w:ind w:left="720"/>
              <w:rPr>
                <w:rFonts w:eastAsia="Times New Roman" w:cs="Times New Roman"/>
                <w:sz w:val="21"/>
                <w:szCs w:val="21"/>
                <w:lang w:eastAsia="en-GB"/>
              </w:rPr>
            </w:pPr>
            <w:proofErr w:type="spellStart"/>
            <w:r w:rsidRPr="00A90777">
              <w:rPr>
                <w:rFonts w:eastAsia="Times New Roman" w:cs="Times New Roman"/>
                <w:sz w:val="21"/>
                <w:szCs w:val="21"/>
                <w:lang w:eastAsia="en-GB"/>
              </w:rPr>
              <w:t>Curaçao</w:t>
            </w:r>
            <w:proofErr w:type="spellEnd"/>
          </w:p>
        </w:tc>
        <w:tc>
          <w:tcPr>
            <w:tcW w:w="724"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1982</w:t>
            </w:r>
          </w:p>
        </w:tc>
        <w:tc>
          <w:tcPr>
            <w:tcW w:w="481" w:type="pct"/>
            <w:shd w:val="clear" w:color="auto" w:fill="auto"/>
            <w:noWrap/>
            <w:vAlign w:val="center"/>
          </w:tcPr>
          <w:p w:rsidR="00547638" w:rsidRPr="00A90777" w:rsidRDefault="00547638" w:rsidP="00C27D0E">
            <w:pPr>
              <w:jc w:val="center"/>
              <w:rPr>
                <w:sz w:val="21"/>
                <w:szCs w:val="21"/>
              </w:rPr>
            </w:pPr>
          </w:p>
        </w:tc>
        <w:tc>
          <w:tcPr>
            <w:tcW w:w="482"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p>
        </w:tc>
        <w:tc>
          <w:tcPr>
            <w:tcW w:w="578"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tcBorders>
              <w:bottom w:val="single" w:sz="4" w:space="0" w:color="auto"/>
            </w:tcBorders>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tcPr>
          <w:p w:rsidR="00547638" w:rsidRPr="00A90777" w:rsidRDefault="00547638" w:rsidP="00547638">
            <w:pPr>
              <w:ind w:left="720"/>
              <w:rPr>
                <w:sz w:val="21"/>
                <w:szCs w:val="21"/>
              </w:rPr>
            </w:pPr>
            <w:proofErr w:type="spellStart"/>
            <w:r w:rsidRPr="00A90777">
              <w:rPr>
                <w:sz w:val="21"/>
                <w:szCs w:val="21"/>
              </w:rPr>
              <w:t>Sint</w:t>
            </w:r>
            <w:proofErr w:type="spellEnd"/>
            <w:r w:rsidRPr="00A90777">
              <w:rPr>
                <w:sz w:val="21"/>
                <w:szCs w:val="21"/>
              </w:rPr>
              <w:t xml:space="preserve"> Maarten</w:t>
            </w:r>
          </w:p>
        </w:tc>
        <w:tc>
          <w:tcPr>
            <w:tcW w:w="724"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1969</w:t>
            </w:r>
          </w:p>
        </w:tc>
        <w:tc>
          <w:tcPr>
            <w:tcW w:w="481" w:type="pct"/>
            <w:shd w:val="clear" w:color="auto" w:fill="auto"/>
            <w:noWrap/>
            <w:vAlign w:val="center"/>
          </w:tcPr>
          <w:p w:rsidR="00547638" w:rsidRPr="00A90777" w:rsidRDefault="00547638" w:rsidP="00C27D0E">
            <w:pPr>
              <w:jc w:val="center"/>
              <w:rPr>
                <w:sz w:val="21"/>
                <w:szCs w:val="21"/>
              </w:rPr>
            </w:pPr>
          </w:p>
        </w:tc>
        <w:tc>
          <w:tcPr>
            <w:tcW w:w="482"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p>
        </w:tc>
        <w:tc>
          <w:tcPr>
            <w:tcW w:w="578"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tcBorders>
              <w:left w:val="nil"/>
            </w:tcBorders>
            <w:shd w:val="clear" w:color="auto" w:fill="auto"/>
            <w:vAlign w:val="center"/>
          </w:tcPr>
          <w:p w:rsidR="00547638" w:rsidRPr="00A90777" w:rsidRDefault="00547638" w:rsidP="00547638">
            <w:pPr>
              <w:pStyle w:val="ListParagraph"/>
              <w:ind w:left="360"/>
              <w:rPr>
                <w:rFonts w:eastAsia="Times New Roman" w:cs="Times New Roman"/>
                <w:sz w:val="21"/>
                <w:szCs w:val="21"/>
                <w:lang w:eastAsia="en-GB"/>
              </w:rPr>
            </w:pPr>
          </w:p>
        </w:tc>
        <w:tc>
          <w:tcPr>
            <w:tcW w:w="4826" w:type="pct"/>
            <w:gridSpan w:val="8"/>
            <w:shd w:val="clear" w:color="auto" w:fill="auto"/>
            <w:noWrap/>
            <w:vAlign w:val="center"/>
          </w:tcPr>
          <w:p w:rsidR="00547638" w:rsidRPr="00A90777" w:rsidRDefault="00547638" w:rsidP="00547638">
            <w:pPr>
              <w:spacing w:after="0" w:line="240" w:lineRule="auto"/>
              <w:rPr>
                <w:rFonts w:eastAsia="Times New Roman" w:cs="Times New Roman"/>
                <w:sz w:val="21"/>
                <w:szCs w:val="21"/>
                <w:lang w:eastAsia="en-GB"/>
              </w:rPr>
            </w:pPr>
            <w:r w:rsidRPr="00A90777">
              <w:rPr>
                <w:i/>
                <w:iCs/>
                <w:sz w:val="21"/>
                <w:szCs w:val="21"/>
              </w:rPr>
              <w:t>New Caledonia: see under France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New Zealand</w:t>
            </w:r>
          </w:p>
        </w:tc>
        <w:tc>
          <w:tcPr>
            <w:tcW w:w="724" w:type="pct"/>
            <w:shd w:val="clear" w:color="auto" w:fill="auto"/>
            <w:vAlign w:val="center"/>
            <w:hideMark/>
          </w:tcPr>
          <w:p w:rsidR="00547638" w:rsidRPr="00A90777" w:rsidRDefault="00804CBA"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2002</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February 2002</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tcPr>
          <w:p w:rsidR="00547638" w:rsidRPr="00A90777" w:rsidRDefault="00804CBA" w:rsidP="00804CBA">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ab/>
            </w:r>
            <w:r w:rsidR="00547638" w:rsidRPr="00A90777">
              <w:rPr>
                <w:rFonts w:eastAsia="Times New Roman" w:cs="Times New Roman"/>
                <w:sz w:val="21"/>
                <w:szCs w:val="21"/>
                <w:lang w:eastAsia="en-GB"/>
              </w:rPr>
              <w:t>Tokelau</w:t>
            </w:r>
          </w:p>
        </w:tc>
        <w:tc>
          <w:tcPr>
            <w:tcW w:w="724" w:type="pct"/>
            <w:shd w:val="clear" w:color="auto" w:fill="auto"/>
            <w:vAlign w:val="center"/>
          </w:tcPr>
          <w:p w:rsidR="00547638" w:rsidRPr="00A90777" w:rsidRDefault="00804CBA"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p>
        </w:tc>
        <w:tc>
          <w:tcPr>
            <w:tcW w:w="578"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November 2015</w:t>
            </w:r>
          </w:p>
        </w:tc>
        <w:tc>
          <w:tcPr>
            <w:tcW w:w="531"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Nicaragua</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1981</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2015-11</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Niger</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1981</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July 2015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July 2013</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January 2017</w:t>
            </w:r>
            <w:r w:rsidRPr="00A90777">
              <w:rPr>
                <w:rFonts w:eastAsia="Times New Roman" w:cs="Times New Roman"/>
                <w:sz w:val="21"/>
                <w:szCs w:val="21"/>
                <w:vertAlign w:val="superscript"/>
                <w:lang w:eastAsia="en-GB"/>
              </w:rPr>
              <w:t>7</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Nigeria</w:t>
            </w:r>
          </w:p>
        </w:tc>
        <w:tc>
          <w:tcPr>
            <w:tcW w:w="724"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1998</w:t>
            </w:r>
          </w:p>
        </w:tc>
        <w:tc>
          <w:tcPr>
            <w:tcW w:w="481" w:type="pct"/>
            <w:shd w:val="clear" w:color="auto" w:fill="auto"/>
            <w:noWrap/>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2015-02</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Outbreak not declared closed yet</w:t>
            </w:r>
            <w:r w:rsidRPr="00A90777">
              <w:rPr>
                <w:rFonts w:eastAsia="Times New Roman" w:cs="Times New Roman"/>
                <w:sz w:val="21"/>
                <w:szCs w:val="21"/>
                <w:vertAlign w:val="superscript"/>
                <w:lang w:eastAsia="en-GB"/>
              </w:rPr>
              <w:t>4</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May 2017</w:t>
            </w:r>
            <w:r w:rsidRPr="00A90777">
              <w:rPr>
                <w:rFonts w:eastAsia="Times New Roman" w:cs="Times New Roman"/>
                <w:sz w:val="21"/>
                <w:szCs w:val="21"/>
                <w:vertAlign w:val="superscript"/>
                <w:lang w:eastAsia="en-GB"/>
              </w:rPr>
              <w:t>9</w:t>
            </w:r>
          </w:p>
        </w:tc>
      </w:tr>
      <w:tr w:rsidR="00A90777" w:rsidRPr="00A90777" w:rsidTr="00C27D0E">
        <w:trPr>
          <w:trHeight w:val="510"/>
        </w:trPr>
        <w:tc>
          <w:tcPr>
            <w:tcW w:w="174" w:type="pct"/>
            <w:tcBorders>
              <w:bottom w:val="single" w:sz="4" w:space="0" w:color="auto"/>
            </w:tcBorders>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Niue</w:t>
            </w:r>
          </w:p>
        </w:tc>
        <w:tc>
          <w:tcPr>
            <w:tcW w:w="724" w:type="pct"/>
            <w:shd w:val="clear" w:color="auto" w:fill="auto"/>
            <w:vAlign w:val="center"/>
            <w:hideMark/>
          </w:tcPr>
          <w:p w:rsidR="00547638" w:rsidRPr="00A90777" w:rsidRDefault="00804CBA"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2002</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2004</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tcBorders>
              <w:left w:val="nil"/>
            </w:tcBorders>
            <w:shd w:val="clear" w:color="auto" w:fill="auto"/>
            <w:vAlign w:val="center"/>
          </w:tcPr>
          <w:p w:rsidR="00547638" w:rsidRPr="00A90777" w:rsidRDefault="00547638" w:rsidP="00547638">
            <w:pPr>
              <w:pStyle w:val="ListParagraph"/>
              <w:ind w:left="360"/>
              <w:rPr>
                <w:rFonts w:eastAsia="Times New Roman" w:cs="Times New Roman"/>
                <w:sz w:val="21"/>
                <w:szCs w:val="21"/>
                <w:lang w:eastAsia="en-GB"/>
              </w:rPr>
            </w:pPr>
          </w:p>
        </w:tc>
        <w:tc>
          <w:tcPr>
            <w:tcW w:w="4826" w:type="pct"/>
            <w:gridSpan w:val="8"/>
            <w:shd w:val="clear" w:color="auto" w:fill="auto"/>
            <w:noWrap/>
            <w:vAlign w:val="center"/>
          </w:tcPr>
          <w:p w:rsidR="00547638" w:rsidRPr="00A90777" w:rsidRDefault="00547638" w:rsidP="00C3162D">
            <w:pPr>
              <w:spacing w:after="0" w:line="240" w:lineRule="auto"/>
              <w:rPr>
                <w:i/>
                <w:iCs/>
                <w:sz w:val="21"/>
                <w:szCs w:val="21"/>
              </w:rPr>
            </w:pPr>
            <w:r w:rsidRPr="00A90777">
              <w:rPr>
                <w:i/>
                <w:iCs/>
                <w:sz w:val="21"/>
                <w:szCs w:val="21"/>
              </w:rPr>
              <w:t>Northern Mariana Islands, Commonwealth of: see under the United States of America</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Norway</w:t>
            </w:r>
          </w:p>
        </w:tc>
        <w:tc>
          <w:tcPr>
            <w:tcW w:w="724"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1960</w:t>
            </w:r>
          </w:p>
        </w:tc>
        <w:tc>
          <w:tcPr>
            <w:tcW w:w="481" w:type="pct"/>
            <w:shd w:val="clear" w:color="auto" w:fill="auto"/>
            <w:noWrap/>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1956</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1980</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Oman</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2010</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Pakistan</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1997</w:t>
            </w:r>
          </w:p>
        </w:tc>
        <w:tc>
          <w:tcPr>
            <w:tcW w:w="481" w:type="pct"/>
            <w:shd w:val="clear" w:color="auto" w:fill="auto"/>
            <w:vAlign w:val="center"/>
          </w:tcPr>
          <w:p w:rsidR="00547638" w:rsidRPr="00A90777" w:rsidRDefault="00547638" w:rsidP="00C27D0E">
            <w:pPr>
              <w:jc w:val="center"/>
              <w:rPr>
                <w:i/>
                <w:iCs/>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July 2015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2016</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March 2017</w:t>
            </w:r>
            <w:r w:rsidRPr="00A90777">
              <w:rPr>
                <w:rFonts w:eastAsia="Times New Roman" w:cs="Times New Roman"/>
                <w:sz w:val="21"/>
                <w:szCs w:val="21"/>
                <w:vertAlign w:val="superscript"/>
                <w:lang w:eastAsia="en-GB"/>
              </w:rPr>
              <w:t>7</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Palau, Republic of</w:t>
            </w:r>
          </w:p>
        </w:tc>
        <w:tc>
          <w:tcPr>
            <w:tcW w:w="724" w:type="pct"/>
            <w:shd w:val="clear" w:color="auto" w:fill="auto"/>
            <w:vAlign w:val="center"/>
            <w:hideMark/>
          </w:tcPr>
          <w:p w:rsidR="00547638" w:rsidRPr="00A90777" w:rsidRDefault="00804CBA"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2002</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2004</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Panama</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1973</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2014-05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Papua New Guinea</w:t>
            </w:r>
          </w:p>
        </w:tc>
        <w:tc>
          <w:tcPr>
            <w:tcW w:w="724" w:type="pct"/>
            <w:shd w:val="clear" w:color="auto" w:fill="auto"/>
            <w:vAlign w:val="center"/>
            <w:hideMark/>
          </w:tcPr>
          <w:p w:rsidR="00547638" w:rsidRPr="00A90777" w:rsidRDefault="00804CBA"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August 2015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Paraguay</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1986</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2015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Peru</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1989</w:t>
            </w:r>
          </w:p>
        </w:tc>
        <w:tc>
          <w:tcPr>
            <w:tcW w:w="481" w:type="pct"/>
            <w:shd w:val="clear" w:color="auto" w:fill="auto"/>
            <w:vAlign w:val="center"/>
            <w:hideMark/>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2013-07</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tcBorders>
              <w:bottom w:val="single" w:sz="4" w:space="0" w:color="auto"/>
            </w:tcBorders>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Philippines, the</w:t>
            </w:r>
          </w:p>
        </w:tc>
        <w:tc>
          <w:tcPr>
            <w:tcW w:w="724" w:type="pct"/>
            <w:shd w:val="clear" w:color="auto" w:fill="auto"/>
            <w:vAlign w:val="center"/>
            <w:hideMark/>
          </w:tcPr>
          <w:p w:rsidR="00547638" w:rsidRPr="00A90777" w:rsidRDefault="00804CBA"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i/>
                <w:iCs/>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July 2015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tcBorders>
              <w:left w:val="nil"/>
            </w:tcBorders>
            <w:shd w:val="clear" w:color="auto" w:fill="auto"/>
            <w:vAlign w:val="center"/>
          </w:tcPr>
          <w:p w:rsidR="00547638" w:rsidRPr="00A90777" w:rsidRDefault="00547638" w:rsidP="00547638">
            <w:pPr>
              <w:pStyle w:val="ListParagraph"/>
              <w:ind w:left="360"/>
              <w:rPr>
                <w:rFonts w:eastAsia="Times New Roman" w:cs="Times New Roman"/>
                <w:sz w:val="21"/>
                <w:szCs w:val="21"/>
                <w:lang w:eastAsia="en-GB"/>
              </w:rPr>
            </w:pPr>
          </w:p>
        </w:tc>
        <w:tc>
          <w:tcPr>
            <w:tcW w:w="4826" w:type="pct"/>
            <w:gridSpan w:val="8"/>
            <w:shd w:val="clear" w:color="auto" w:fill="auto"/>
            <w:noWrap/>
            <w:vAlign w:val="center"/>
          </w:tcPr>
          <w:p w:rsidR="00547638" w:rsidRPr="00A90777" w:rsidRDefault="00547638" w:rsidP="00C3162D">
            <w:pPr>
              <w:spacing w:after="0" w:line="240" w:lineRule="auto"/>
              <w:rPr>
                <w:i/>
                <w:iCs/>
                <w:sz w:val="21"/>
                <w:szCs w:val="21"/>
              </w:rPr>
            </w:pPr>
            <w:r w:rsidRPr="00A90777">
              <w:rPr>
                <w:i/>
                <w:iCs/>
                <w:sz w:val="21"/>
                <w:szCs w:val="21"/>
              </w:rPr>
              <w:t>Pitcairn Islands: see under the United Kingdom of Great Britain and Northern Ireland</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Poland</w:t>
            </w:r>
          </w:p>
        </w:tc>
        <w:tc>
          <w:tcPr>
            <w:tcW w:w="724"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1982</w:t>
            </w:r>
          </w:p>
        </w:tc>
        <w:tc>
          <w:tcPr>
            <w:tcW w:w="481" w:type="pct"/>
            <w:shd w:val="clear" w:color="auto" w:fill="auto"/>
            <w:noWrap/>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1958</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tcBorders>
              <w:bottom w:val="single" w:sz="4" w:space="0" w:color="auto"/>
            </w:tcBorders>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Portugal</w:t>
            </w:r>
          </w:p>
        </w:tc>
        <w:tc>
          <w:tcPr>
            <w:tcW w:w="724"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1961</w:t>
            </w:r>
          </w:p>
        </w:tc>
        <w:tc>
          <w:tcPr>
            <w:tcW w:w="481" w:type="pct"/>
            <w:shd w:val="clear" w:color="auto" w:fill="auto"/>
            <w:noWrap/>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2006</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2005</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tcBorders>
              <w:left w:val="nil"/>
            </w:tcBorders>
            <w:shd w:val="clear" w:color="auto" w:fill="auto"/>
            <w:vAlign w:val="center"/>
          </w:tcPr>
          <w:p w:rsidR="00547638" w:rsidRPr="00A90777" w:rsidRDefault="00547638" w:rsidP="00547638">
            <w:pPr>
              <w:pStyle w:val="ListParagraph"/>
              <w:ind w:left="360"/>
              <w:rPr>
                <w:rFonts w:eastAsia="Times New Roman" w:cs="Times New Roman"/>
                <w:sz w:val="21"/>
                <w:szCs w:val="21"/>
                <w:lang w:eastAsia="en-GB"/>
              </w:rPr>
            </w:pPr>
          </w:p>
        </w:tc>
        <w:tc>
          <w:tcPr>
            <w:tcW w:w="4826" w:type="pct"/>
            <w:gridSpan w:val="8"/>
            <w:shd w:val="clear" w:color="auto" w:fill="auto"/>
            <w:vAlign w:val="center"/>
          </w:tcPr>
          <w:p w:rsidR="00547638" w:rsidRPr="00A90777" w:rsidRDefault="00547638" w:rsidP="00547638">
            <w:pPr>
              <w:spacing w:after="0" w:line="240" w:lineRule="auto"/>
              <w:rPr>
                <w:rFonts w:eastAsia="Times New Roman" w:cs="Times New Roman"/>
                <w:sz w:val="21"/>
                <w:szCs w:val="21"/>
                <w:lang w:eastAsia="en-GB"/>
              </w:rPr>
            </w:pPr>
            <w:r w:rsidRPr="00A90777">
              <w:rPr>
                <w:i/>
                <w:iCs/>
                <w:sz w:val="21"/>
                <w:szCs w:val="21"/>
              </w:rPr>
              <w:t>Puerto Rico: see under the United States of America</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Qatar</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2010</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Republic of Korea</w:t>
            </w:r>
          </w:p>
        </w:tc>
        <w:tc>
          <w:tcPr>
            <w:tcW w:w="724" w:type="pct"/>
            <w:shd w:val="clear" w:color="auto" w:fill="auto"/>
            <w:vAlign w:val="center"/>
            <w:hideMark/>
          </w:tcPr>
          <w:p w:rsidR="00547638" w:rsidRPr="00A90777" w:rsidRDefault="00804CBA"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2004</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2004</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tcBorders>
              <w:bottom w:val="single" w:sz="4" w:space="0" w:color="auto"/>
            </w:tcBorders>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 xml:space="preserve">Republic of Moldova, the </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2017</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tcBorders>
              <w:left w:val="nil"/>
            </w:tcBorders>
            <w:shd w:val="clear" w:color="auto" w:fill="auto"/>
            <w:vAlign w:val="center"/>
          </w:tcPr>
          <w:p w:rsidR="00547638" w:rsidRPr="00A90777" w:rsidRDefault="00547638" w:rsidP="00547638">
            <w:pPr>
              <w:pStyle w:val="ListParagraph"/>
              <w:ind w:left="360"/>
              <w:rPr>
                <w:rFonts w:eastAsia="Times New Roman" w:cs="Times New Roman"/>
                <w:sz w:val="21"/>
                <w:szCs w:val="21"/>
                <w:lang w:eastAsia="en-GB"/>
              </w:rPr>
            </w:pPr>
          </w:p>
        </w:tc>
        <w:tc>
          <w:tcPr>
            <w:tcW w:w="4826" w:type="pct"/>
            <w:gridSpan w:val="8"/>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proofErr w:type="spellStart"/>
            <w:r w:rsidRPr="00A90777">
              <w:rPr>
                <w:i/>
                <w:iCs/>
                <w:sz w:val="21"/>
                <w:szCs w:val="21"/>
              </w:rPr>
              <w:t>Réunion</w:t>
            </w:r>
            <w:proofErr w:type="spellEnd"/>
            <w:r w:rsidRPr="00A90777">
              <w:rPr>
                <w:i/>
                <w:iCs/>
                <w:sz w:val="21"/>
                <w:szCs w:val="21"/>
              </w:rPr>
              <w:t xml:space="preserve"> Island: see under France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Romania</w:t>
            </w:r>
          </w:p>
        </w:tc>
        <w:tc>
          <w:tcPr>
            <w:tcW w:w="724"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1980</w:t>
            </w:r>
          </w:p>
        </w:tc>
        <w:tc>
          <w:tcPr>
            <w:tcW w:w="481" w:type="pct"/>
            <w:shd w:val="clear" w:color="auto" w:fill="auto"/>
            <w:noWrap/>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2008</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2009</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January 2013</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Russian Federation</w:t>
            </w:r>
          </w:p>
        </w:tc>
        <w:tc>
          <w:tcPr>
            <w:tcW w:w="724"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1960</w:t>
            </w:r>
          </w:p>
        </w:tc>
        <w:tc>
          <w:tcPr>
            <w:tcW w:w="481" w:type="pct"/>
            <w:shd w:val="clear" w:color="auto" w:fill="auto"/>
            <w:noWrap/>
            <w:vAlign w:val="center"/>
          </w:tcPr>
          <w:p w:rsidR="00547638" w:rsidRPr="00A90777" w:rsidRDefault="00547638" w:rsidP="00C27D0E">
            <w:pPr>
              <w:jc w:val="center"/>
              <w:rPr>
                <w:i/>
                <w:iCs/>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2008</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tcBorders>
              <w:bottom w:val="single" w:sz="4" w:space="0" w:color="auto"/>
            </w:tcBorders>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Rwanda</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2017</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tcBorders>
              <w:left w:val="nil"/>
            </w:tcBorders>
            <w:shd w:val="clear" w:color="auto" w:fill="auto"/>
            <w:vAlign w:val="center"/>
          </w:tcPr>
          <w:p w:rsidR="00547638" w:rsidRPr="00A90777" w:rsidRDefault="00547638" w:rsidP="00547638">
            <w:pPr>
              <w:pStyle w:val="ListParagraph"/>
              <w:ind w:left="360"/>
              <w:rPr>
                <w:rFonts w:eastAsia="Times New Roman" w:cs="Times New Roman"/>
                <w:sz w:val="21"/>
                <w:szCs w:val="21"/>
                <w:lang w:eastAsia="en-GB"/>
              </w:rPr>
            </w:pPr>
          </w:p>
        </w:tc>
        <w:tc>
          <w:tcPr>
            <w:tcW w:w="4826" w:type="pct"/>
            <w:gridSpan w:val="8"/>
            <w:shd w:val="clear" w:color="auto" w:fill="auto"/>
            <w:noWrap/>
            <w:vAlign w:val="center"/>
          </w:tcPr>
          <w:p w:rsidR="00547638" w:rsidRPr="00A90777" w:rsidRDefault="00547638" w:rsidP="00547638">
            <w:pPr>
              <w:spacing w:after="0" w:line="240" w:lineRule="auto"/>
              <w:rPr>
                <w:rFonts w:eastAsia="Times New Roman" w:cs="Times New Roman"/>
                <w:sz w:val="21"/>
                <w:szCs w:val="21"/>
                <w:lang w:eastAsia="en-GB"/>
              </w:rPr>
            </w:pPr>
            <w:r w:rsidRPr="00A90777">
              <w:rPr>
                <w:i/>
                <w:iCs/>
                <w:sz w:val="21"/>
                <w:szCs w:val="21"/>
              </w:rPr>
              <w:t>Saint Helena: see under the United Kingdom of Great Britain and Northern Ireland</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Saint Kitts and Nevis</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1969</w:t>
            </w:r>
          </w:p>
        </w:tc>
        <w:tc>
          <w:tcPr>
            <w:tcW w:w="481" w:type="pct"/>
            <w:shd w:val="clear" w:color="auto" w:fill="auto"/>
            <w:vAlign w:val="center"/>
          </w:tcPr>
          <w:p w:rsidR="00547638" w:rsidRPr="00A90777" w:rsidRDefault="00547638" w:rsidP="00C27D0E">
            <w:pPr>
              <w:jc w:val="center"/>
              <w:rPr>
                <w:i/>
                <w:iCs/>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2015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Saint Lucia</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1971</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2015-11</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Saint Vincent and the Grenadines</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1978</w:t>
            </w:r>
          </w:p>
        </w:tc>
        <w:tc>
          <w:tcPr>
            <w:tcW w:w="481" w:type="pct"/>
            <w:shd w:val="clear" w:color="auto" w:fill="auto"/>
            <w:vAlign w:val="center"/>
          </w:tcPr>
          <w:p w:rsidR="00547638" w:rsidRPr="00A90777" w:rsidRDefault="00547638" w:rsidP="00C27D0E">
            <w:pPr>
              <w:jc w:val="center"/>
              <w:rPr>
                <w:i/>
                <w:iCs/>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2015-06</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 xml:space="preserve">Samoa </w:t>
            </w:r>
          </w:p>
        </w:tc>
        <w:tc>
          <w:tcPr>
            <w:tcW w:w="724" w:type="pct"/>
            <w:shd w:val="clear" w:color="auto" w:fill="auto"/>
            <w:vAlign w:val="center"/>
            <w:hideMark/>
          </w:tcPr>
          <w:p w:rsidR="00547638" w:rsidRPr="00A90777" w:rsidRDefault="00804CBA"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2015-10</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San Marino</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1963</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1960</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2000</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Sao Tome and Principe</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Saudi Arabia</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1995</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2008</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Senegal</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2015-01</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Serbia</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1990</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2015-01</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Seychelles</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September 2015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Sierra Leone</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2017</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Singapore</w:t>
            </w:r>
          </w:p>
        </w:tc>
        <w:tc>
          <w:tcPr>
            <w:tcW w:w="724"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1971</w:t>
            </w:r>
          </w:p>
        </w:tc>
        <w:tc>
          <w:tcPr>
            <w:tcW w:w="481" w:type="pct"/>
            <w:shd w:val="clear" w:color="auto" w:fill="auto"/>
            <w:noWrap/>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2013-07</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Slovakia</w:t>
            </w:r>
          </w:p>
        </w:tc>
        <w:tc>
          <w:tcPr>
            <w:tcW w:w="724"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1960</w:t>
            </w:r>
          </w:p>
        </w:tc>
        <w:tc>
          <w:tcPr>
            <w:tcW w:w="481" w:type="pct"/>
            <w:shd w:val="clear" w:color="auto" w:fill="auto"/>
            <w:noWrap/>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2005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January 2005</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Slovenia</w:t>
            </w:r>
          </w:p>
        </w:tc>
        <w:tc>
          <w:tcPr>
            <w:tcW w:w="724"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1978</w:t>
            </w:r>
          </w:p>
        </w:tc>
        <w:tc>
          <w:tcPr>
            <w:tcW w:w="481" w:type="pct"/>
            <w:shd w:val="clear" w:color="auto" w:fill="auto"/>
            <w:noWrap/>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2004</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Autumn 2005</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Solomon Islands</w:t>
            </w:r>
          </w:p>
        </w:tc>
        <w:tc>
          <w:tcPr>
            <w:tcW w:w="724" w:type="pct"/>
            <w:shd w:val="clear" w:color="auto" w:fill="auto"/>
            <w:vAlign w:val="center"/>
            <w:hideMark/>
          </w:tcPr>
          <w:p w:rsidR="00547638" w:rsidRPr="00A90777" w:rsidRDefault="00804CBA"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September 2015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Somalia</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1998</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2015-11</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January 2013</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South Africa</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2009</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South Sudan</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2015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October 2014</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Spain</w:t>
            </w:r>
          </w:p>
        </w:tc>
        <w:tc>
          <w:tcPr>
            <w:tcW w:w="724"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1987</w:t>
            </w:r>
          </w:p>
        </w:tc>
        <w:tc>
          <w:tcPr>
            <w:tcW w:w="481" w:type="pct"/>
            <w:shd w:val="clear" w:color="auto" w:fill="auto"/>
            <w:noWrap/>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1963</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March 2004</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Sri Lanka</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1993</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July 2015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 xml:space="preserve">Sudan </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2015-06</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Suriname</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1981</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2015-10</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Swaziland</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2016-07</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Sweden</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September 1992</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1982</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never used</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Switzerland</w:t>
            </w:r>
          </w:p>
        </w:tc>
        <w:tc>
          <w:tcPr>
            <w:tcW w:w="724"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1962</w:t>
            </w:r>
          </w:p>
        </w:tc>
        <w:tc>
          <w:tcPr>
            <w:tcW w:w="481" w:type="pct"/>
            <w:shd w:val="clear" w:color="auto" w:fill="auto"/>
            <w:noWrap/>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1957</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September 2001</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tcBorders>
              <w:bottom w:val="single" w:sz="4" w:space="0" w:color="auto"/>
            </w:tcBorders>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Syrian Arab Republic</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2008</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Outbreak not declared closed yet</w:t>
            </w:r>
            <w:r w:rsidRPr="00A90777">
              <w:rPr>
                <w:rFonts w:eastAsia="Times New Roman" w:cs="Times New Roman"/>
                <w:sz w:val="21"/>
                <w:szCs w:val="21"/>
                <w:vertAlign w:val="superscript"/>
                <w:lang w:eastAsia="en-GB"/>
              </w:rPr>
              <w:t>4</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September 2017</w:t>
            </w:r>
            <w:r w:rsidRPr="00A90777">
              <w:rPr>
                <w:rFonts w:eastAsia="Times New Roman" w:cs="Times New Roman"/>
                <w:sz w:val="21"/>
                <w:szCs w:val="21"/>
                <w:vertAlign w:val="superscript"/>
                <w:lang w:eastAsia="en-GB"/>
              </w:rPr>
              <w:t>9</w:t>
            </w:r>
          </w:p>
        </w:tc>
      </w:tr>
      <w:tr w:rsidR="00A90777" w:rsidRPr="00A90777" w:rsidTr="00C27D0E">
        <w:trPr>
          <w:trHeight w:val="510"/>
        </w:trPr>
        <w:tc>
          <w:tcPr>
            <w:tcW w:w="174" w:type="pct"/>
            <w:tcBorders>
              <w:left w:val="nil"/>
            </w:tcBorders>
            <w:shd w:val="clear" w:color="auto" w:fill="auto"/>
            <w:vAlign w:val="center"/>
          </w:tcPr>
          <w:p w:rsidR="00547638" w:rsidRPr="00A90777" w:rsidRDefault="00547638" w:rsidP="00547638">
            <w:pPr>
              <w:jc w:val="center"/>
              <w:rPr>
                <w:rFonts w:eastAsia="Times New Roman" w:cs="Times New Roman"/>
                <w:sz w:val="21"/>
                <w:szCs w:val="21"/>
                <w:lang w:eastAsia="en-GB"/>
              </w:rPr>
            </w:pPr>
          </w:p>
        </w:tc>
        <w:tc>
          <w:tcPr>
            <w:tcW w:w="4826" w:type="pct"/>
            <w:gridSpan w:val="8"/>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i/>
                <w:iCs/>
                <w:sz w:val="21"/>
                <w:szCs w:val="21"/>
              </w:rPr>
              <w:t>Taiwan, China: see under China</w:t>
            </w:r>
          </w:p>
        </w:tc>
      </w:tr>
      <w:tr w:rsidR="00A90777" w:rsidRPr="00A90777" w:rsidTr="00C27D0E">
        <w:trPr>
          <w:trHeight w:val="510"/>
        </w:trPr>
        <w:tc>
          <w:tcPr>
            <w:tcW w:w="174" w:type="pct"/>
            <w:tcBorders>
              <w:bottom w:val="single" w:sz="4" w:space="0" w:color="auto"/>
            </w:tcBorders>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Tajikistan</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2017</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tcBorders>
              <w:left w:val="nil"/>
            </w:tcBorders>
            <w:shd w:val="clear" w:color="auto" w:fill="auto"/>
            <w:vAlign w:val="center"/>
          </w:tcPr>
          <w:p w:rsidR="00547638" w:rsidRPr="00A90777" w:rsidRDefault="00547638" w:rsidP="00547638">
            <w:pPr>
              <w:pStyle w:val="ListParagraph"/>
              <w:ind w:left="360"/>
              <w:rPr>
                <w:rFonts w:eastAsia="Times New Roman" w:cs="Times New Roman"/>
                <w:sz w:val="21"/>
                <w:szCs w:val="21"/>
                <w:lang w:eastAsia="en-GB"/>
              </w:rPr>
            </w:pPr>
          </w:p>
        </w:tc>
        <w:tc>
          <w:tcPr>
            <w:tcW w:w="4826" w:type="pct"/>
            <w:gridSpan w:val="8"/>
            <w:shd w:val="clear" w:color="auto" w:fill="auto"/>
            <w:noWrap/>
            <w:vAlign w:val="center"/>
          </w:tcPr>
          <w:p w:rsidR="00547638" w:rsidRPr="00A90777" w:rsidRDefault="00547638" w:rsidP="00547638">
            <w:pPr>
              <w:spacing w:after="0" w:line="240" w:lineRule="auto"/>
              <w:rPr>
                <w:rFonts w:eastAsia="Times New Roman" w:cs="Times New Roman"/>
                <w:sz w:val="21"/>
                <w:szCs w:val="21"/>
                <w:lang w:eastAsia="en-GB"/>
              </w:rPr>
            </w:pPr>
            <w:r w:rsidRPr="00A90777">
              <w:rPr>
                <w:i/>
                <w:iCs/>
                <w:sz w:val="21"/>
                <w:szCs w:val="21"/>
              </w:rPr>
              <w:t>Tanzania: see United Republic of Tanzania</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Thailand</w:t>
            </w:r>
          </w:p>
        </w:tc>
        <w:tc>
          <w:tcPr>
            <w:tcW w:w="724"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1993</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2015</w:t>
            </w:r>
          </w:p>
        </w:tc>
        <w:tc>
          <w:tcPr>
            <w:tcW w:w="578"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The former Yugoslav Republic of Macedonia</w:t>
            </w:r>
          </w:p>
        </w:tc>
        <w:tc>
          <w:tcPr>
            <w:tcW w:w="724"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1987</w:t>
            </w:r>
          </w:p>
        </w:tc>
        <w:tc>
          <w:tcPr>
            <w:tcW w:w="481" w:type="pct"/>
            <w:shd w:val="clear" w:color="auto" w:fill="auto"/>
            <w:vAlign w:val="center"/>
          </w:tcPr>
          <w:p w:rsidR="00547638" w:rsidRPr="00A90777" w:rsidRDefault="00547638" w:rsidP="00C27D0E">
            <w:pPr>
              <w:jc w:val="center"/>
              <w:rPr>
                <w:i/>
                <w:iCs/>
                <w:sz w:val="21"/>
                <w:szCs w:val="21"/>
              </w:rPr>
            </w:pPr>
          </w:p>
        </w:tc>
        <w:tc>
          <w:tcPr>
            <w:tcW w:w="482"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August 2015</w:t>
            </w:r>
          </w:p>
        </w:tc>
        <w:tc>
          <w:tcPr>
            <w:tcW w:w="578"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Timor-Leste</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i/>
                <w:iCs/>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2016-02</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tcBorders>
              <w:bottom w:val="single" w:sz="4" w:space="0" w:color="auto"/>
            </w:tcBorders>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Togo</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jc w:val="center"/>
              <w:rPr>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2017</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tcBorders>
              <w:left w:val="nil"/>
            </w:tcBorders>
            <w:shd w:val="clear" w:color="auto" w:fill="auto"/>
            <w:vAlign w:val="center"/>
          </w:tcPr>
          <w:p w:rsidR="00547638" w:rsidRPr="00A90777" w:rsidRDefault="00547638" w:rsidP="00547638">
            <w:pPr>
              <w:pStyle w:val="ListParagraph"/>
              <w:ind w:left="360"/>
              <w:rPr>
                <w:rFonts w:eastAsia="Times New Roman" w:cs="Times New Roman"/>
                <w:sz w:val="21"/>
                <w:szCs w:val="21"/>
                <w:lang w:eastAsia="en-GB"/>
              </w:rPr>
            </w:pPr>
          </w:p>
        </w:tc>
        <w:tc>
          <w:tcPr>
            <w:tcW w:w="4826" w:type="pct"/>
            <w:gridSpan w:val="8"/>
            <w:shd w:val="clear" w:color="auto" w:fill="auto"/>
            <w:noWrap/>
            <w:vAlign w:val="center"/>
          </w:tcPr>
          <w:p w:rsidR="00547638" w:rsidRPr="00A90777" w:rsidRDefault="00547638" w:rsidP="00547638">
            <w:pPr>
              <w:spacing w:after="0" w:line="240" w:lineRule="auto"/>
              <w:rPr>
                <w:rFonts w:eastAsia="Times New Roman" w:cs="Times New Roman"/>
                <w:sz w:val="21"/>
                <w:szCs w:val="21"/>
                <w:lang w:eastAsia="en-GB"/>
              </w:rPr>
            </w:pPr>
            <w:r w:rsidRPr="00A90777">
              <w:rPr>
                <w:i/>
                <w:iCs/>
                <w:sz w:val="21"/>
                <w:szCs w:val="21"/>
              </w:rPr>
              <w:t xml:space="preserve">Tokelau: see under New Zealand </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Tonga</w:t>
            </w:r>
          </w:p>
        </w:tc>
        <w:tc>
          <w:tcPr>
            <w:tcW w:w="724" w:type="pct"/>
            <w:shd w:val="clear" w:color="auto" w:fill="auto"/>
            <w:vAlign w:val="center"/>
            <w:hideMark/>
          </w:tcPr>
          <w:p w:rsidR="00547638" w:rsidRPr="00A90777" w:rsidRDefault="00804CBA"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spacing w:after="0" w:line="240" w:lineRule="auto"/>
              <w:jc w:val="center"/>
              <w:rPr>
                <w:rFonts w:ascii="Calibri" w:eastAsia="Times New Roman" w:hAnsi="Calibri" w:cs="Times New Roman"/>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2015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Trinidad and Tobago</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1973</w:t>
            </w:r>
          </w:p>
        </w:tc>
        <w:tc>
          <w:tcPr>
            <w:tcW w:w="481" w:type="pct"/>
            <w:shd w:val="clear" w:color="auto" w:fill="auto"/>
            <w:vAlign w:val="center"/>
          </w:tcPr>
          <w:p w:rsidR="00547638" w:rsidRPr="00A90777" w:rsidRDefault="00547638" w:rsidP="00C27D0E">
            <w:pPr>
              <w:spacing w:after="0" w:line="240" w:lineRule="auto"/>
              <w:jc w:val="center"/>
              <w:rPr>
                <w:rFonts w:ascii="Calibri" w:eastAsia="Times New Roman" w:hAnsi="Calibri" w:cs="Times New Roman"/>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2015</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Tunisia</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spacing w:after="0" w:line="240" w:lineRule="auto"/>
              <w:jc w:val="center"/>
              <w:rPr>
                <w:rFonts w:ascii="Calibri" w:eastAsia="Times New Roman" w:hAnsi="Calibri" w:cs="Times New Roman"/>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2014-09</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Turkey</w:t>
            </w:r>
          </w:p>
        </w:tc>
        <w:tc>
          <w:tcPr>
            <w:tcW w:w="724"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July 1991</w:t>
            </w:r>
          </w:p>
        </w:tc>
        <w:tc>
          <w:tcPr>
            <w:tcW w:w="481" w:type="pct"/>
            <w:shd w:val="clear" w:color="auto" w:fill="auto"/>
            <w:noWrap/>
            <w:vAlign w:val="center"/>
          </w:tcPr>
          <w:p w:rsidR="00547638" w:rsidRPr="00A90777" w:rsidRDefault="00547638" w:rsidP="00C27D0E">
            <w:pPr>
              <w:spacing w:after="0" w:line="240" w:lineRule="auto"/>
              <w:jc w:val="center"/>
              <w:rPr>
                <w:rFonts w:ascii="Calibri" w:eastAsia="Times New Roman" w:hAnsi="Calibri" w:cs="Times New Roman"/>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2008</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tcBorders>
              <w:bottom w:val="single" w:sz="4" w:space="0" w:color="auto"/>
            </w:tcBorders>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Turkmenistan</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spacing w:after="0" w:line="240" w:lineRule="auto"/>
              <w:jc w:val="center"/>
              <w:rPr>
                <w:rFonts w:ascii="Calibri" w:eastAsia="Times New Roman" w:hAnsi="Calibri" w:cs="Times New Roman"/>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2017</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tcBorders>
              <w:left w:val="nil"/>
            </w:tcBorders>
            <w:shd w:val="clear" w:color="auto" w:fill="auto"/>
            <w:vAlign w:val="center"/>
          </w:tcPr>
          <w:p w:rsidR="00547638" w:rsidRPr="00A90777" w:rsidRDefault="00547638" w:rsidP="00547638">
            <w:pPr>
              <w:pStyle w:val="ListParagraph"/>
              <w:ind w:left="360"/>
              <w:rPr>
                <w:rFonts w:eastAsia="Times New Roman" w:cs="Times New Roman"/>
                <w:sz w:val="21"/>
                <w:szCs w:val="21"/>
                <w:lang w:eastAsia="en-GB"/>
              </w:rPr>
            </w:pPr>
          </w:p>
        </w:tc>
        <w:tc>
          <w:tcPr>
            <w:tcW w:w="4826" w:type="pct"/>
            <w:gridSpan w:val="8"/>
            <w:shd w:val="clear" w:color="auto" w:fill="auto"/>
            <w:vAlign w:val="center"/>
          </w:tcPr>
          <w:p w:rsidR="00547638" w:rsidRPr="00A90777" w:rsidRDefault="00547638" w:rsidP="00547638">
            <w:pPr>
              <w:spacing w:after="0" w:line="240" w:lineRule="auto"/>
              <w:rPr>
                <w:rFonts w:eastAsia="Times New Roman" w:cs="Times New Roman"/>
                <w:sz w:val="21"/>
                <w:szCs w:val="21"/>
                <w:lang w:eastAsia="en-GB"/>
              </w:rPr>
            </w:pPr>
            <w:r w:rsidRPr="00A90777">
              <w:rPr>
                <w:rFonts w:ascii="Calibri" w:eastAsia="Times New Roman" w:hAnsi="Calibri" w:cs="Times New Roman"/>
                <w:i/>
                <w:iCs/>
                <w:sz w:val="21"/>
                <w:szCs w:val="21"/>
              </w:rPr>
              <w:t>Turks and Caicos Islands: see under the United Kingdom of Great Britain and Northern Ireland</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Tuvalu</w:t>
            </w:r>
          </w:p>
        </w:tc>
        <w:tc>
          <w:tcPr>
            <w:tcW w:w="724" w:type="pct"/>
            <w:shd w:val="clear" w:color="auto" w:fill="auto"/>
            <w:vAlign w:val="center"/>
            <w:hideMark/>
          </w:tcPr>
          <w:p w:rsidR="00547638" w:rsidRPr="00A90777" w:rsidRDefault="00804CBA"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spacing w:after="0" w:line="240" w:lineRule="auto"/>
              <w:jc w:val="center"/>
              <w:rPr>
                <w:rFonts w:ascii="Calibri" w:eastAsia="Times New Roman" w:hAnsi="Calibri" w:cs="Times New Roman"/>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2015-11</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November 2015</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Uganda</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spacing w:after="0" w:line="240" w:lineRule="auto"/>
              <w:jc w:val="center"/>
              <w:rPr>
                <w:rFonts w:ascii="Calibri" w:eastAsia="Times New Roman" w:hAnsi="Calibri" w:cs="Times New Roman"/>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Ukraine</w:t>
            </w:r>
          </w:p>
        </w:tc>
        <w:tc>
          <w:tcPr>
            <w:tcW w:w="724"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1992</w:t>
            </w:r>
          </w:p>
        </w:tc>
        <w:tc>
          <w:tcPr>
            <w:tcW w:w="481" w:type="pct"/>
            <w:shd w:val="clear" w:color="auto" w:fill="auto"/>
            <w:vAlign w:val="center"/>
          </w:tcPr>
          <w:p w:rsidR="00547638" w:rsidRPr="00A90777" w:rsidRDefault="00547638" w:rsidP="00C27D0E">
            <w:pPr>
              <w:spacing w:after="0" w:line="240" w:lineRule="auto"/>
              <w:ind w:firstLineChars="300" w:firstLine="630"/>
              <w:jc w:val="center"/>
              <w:rPr>
                <w:rFonts w:ascii="Calibri" w:eastAsia="Times New Roman" w:hAnsi="Calibri" w:cs="Times New Roman"/>
                <w:sz w:val="21"/>
                <w:szCs w:val="21"/>
              </w:rPr>
            </w:pPr>
          </w:p>
        </w:tc>
        <w:tc>
          <w:tcPr>
            <w:tcW w:w="482"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2007</w:t>
            </w:r>
          </w:p>
        </w:tc>
        <w:tc>
          <w:tcPr>
            <w:tcW w:w="578"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 xml:space="preserve">United Arab Emirates </w:t>
            </w:r>
          </w:p>
        </w:tc>
        <w:tc>
          <w:tcPr>
            <w:tcW w:w="724"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spacing w:after="0" w:line="240" w:lineRule="auto"/>
              <w:ind w:firstLineChars="300" w:firstLine="630"/>
              <w:jc w:val="center"/>
              <w:rPr>
                <w:rFonts w:ascii="Calibri" w:eastAsia="Times New Roman" w:hAnsi="Calibri" w:cs="Times New Roman"/>
                <w:sz w:val="21"/>
                <w:szCs w:val="21"/>
              </w:rPr>
            </w:pPr>
          </w:p>
        </w:tc>
        <w:tc>
          <w:tcPr>
            <w:tcW w:w="482"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2010</w:t>
            </w:r>
          </w:p>
        </w:tc>
        <w:tc>
          <w:tcPr>
            <w:tcW w:w="578"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ascii="Calibri" w:eastAsia="Times New Roman" w:hAnsi="Calibri" w:cs="Times New Roman"/>
                <w:sz w:val="21"/>
                <w:szCs w:val="21"/>
              </w:rPr>
            </w:pPr>
            <w:r w:rsidRPr="00A90777">
              <w:rPr>
                <w:rFonts w:ascii="Calibri" w:eastAsia="Times New Roman" w:hAnsi="Calibri" w:cs="Times New Roman"/>
                <w:sz w:val="21"/>
                <w:szCs w:val="21"/>
              </w:rPr>
              <w:t>United Kingdom of Great Britain and Northern Ireland</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1977</w:t>
            </w:r>
          </w:p>
        </w:tc>
        <w:tc>
          <w:tcPr>
            <w:tcW w:w="481" w:type="pct"/>
            <w:shd w:val="clear" w:color="auto" w:fill="auto"/>
            <w:vAlign w:val="center"/>
          </w:tcPr>
          <w:p w:rsidR="00547638" w:rsidRPr="00A90777" w:rsidRDefault="00547638" w:rsidP="00C27D0E">
            <w:pPr>
              <w:spacing w:after="0" w:line="240" w:lineRule="auto"/>
              <w:jc w:val="center"/>
              <w:rPr>
                <w:rFonts w:ascii="Calibri" w:eastAsia="Times New Roman" w:hAnsi="Calibri" w:cs="Times New Roman"/>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2004</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August 2004</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tcPr>
          <w:p w:rsidR="00547638" w:rsidRPr="00A90777" w:rsidRDefault="00547638" w:rsidP="00547638">
            <w:pPr>
              <w:spacing w:after="0" w:line="240" w:lineRule="auto"/>
              <w:ind w:left="720"/>
              <w:rPr>
                <w:rFonts w:eastAsia="Times New Roman" w:cs="Times New Roman"/>
                <w:sz w:val="21"/>
                <w:szCs w:val="21"/>
                <w:lang w:eastAsia="en-GB"/>
              </w:rPr>
            </w:pPr>
            <w:r w:rsidRPr="00A90777">
              <w:rPr>
                <w:rFonts w:eastAsia="Times New Roman" w:cs="Times New Roman"/>
                <w:sz w:val="21"/>
                <w:szCs w:val="21"/>
                <w:lang w:eastAsia="en-GB"/>
              </w:rPr>
              <w:t>Anguilla</w:t>
            </w:r>
          </w:p>
        </w:tc>
        <w:tc>
          <w:tcPr>
            <w:tcW w:w="724"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1962</w:t>
            </w:r>
          </w:p>
        </w:tc>
        <w:tc>
          <w:tcPr>
            <w:tcW w:w="481" w:type="pct"/>
            <w:shd w:val="clear" w:color="auto" w:fill="auto"/>
            <w:vAlign w:val="center"/>
          </w:tcPr>
          <w:p w:rsidR="00547638" w:rsidRPr="00A90777" w:rsidRDefault="00547638" w:rsidP="00C27D0E">
            <w:pPr>
              <w:spacing w:after="0" w:line="240" w:lineRule="auto"/>
              <w:jc w:val="center"/>
              <w:rPr>
                <w:rFonts w:ascii="Calibri" w:eastAsia="Times New Roman" w:hAnsi="Calibri" w:cs="Times New Roman"/>
                <w:sz w:val="21"/>
                <w:szCs w:val="21"/>
              </w:rPr>
            </w:pPr>
          </w:p>
        </w:tc>
        <w:tc>
          <w:tcPr>
            <w:tcW w:w="482"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p>
        </w:tc>
        <w:tc>
          <w:tcPr>
            <w:tcW w:w="578"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tcPr>
          <w:p w:rsidR="00547638" w:rsidRPr="00A90777" w:rsidRDefault="00547638" w:rsidP="00547638">
            <w:pPr>
              <w:spacing w:after="0" w:line="240" w:lineRule="auto"/>
              <w:ind w:left="720"/>
              <w:rPr>
                <w:rFonts w:eastAsia="Times New Roman" w:cs="Times New Roman"/>
                <w:sz w:val="21"/>
                <w:szCs w:val="21"/>
                <w:lang w:eastAsia="en-GB"/>
              </w:rPr>
            </w:pPr>
            <w:r w:rsidRPr="00A90777">
              <w:rPr>
                <w:rFonts w:eastAsia="Times New Roman" w:cs="Times New Roman"/>
                <w:sz w:val="21"/>
                <w:szCs w:val="21"/>
                <w:lang w:eastAsia="en-GB"/>
              </w:rPr>
              <w:t>Bermuda</w:t>
            </w:r>
          </w:p>
        </w:tc>
        <w:tc>
          <w:tcPr>
            <w:tcW w:w="724"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1974</w:t>
            </w:r>
          </w:p>
        </w:tc>
        <w:tc>
          <w:tcPr>
            <w:tcW w:w="481" w:type="pct"/>
            <w:shd w:val="clear" w:color="auto" w:fill="auto"/>
            <w:vAlign w:val="center"/>
          </w:tcPr>
          <w:p w:rsidR="00547638" w:rsidRPr="00A90777" w:rsidRDefault="00547638" w:rsidP="00C27D0E">
            <w:pPr>
              <w:spacing w:after="0" w:line="240" w:lineRule="auto"/>
              <w:jc w:val="center"/>
              <w:rPr>
                <w:rFonts w:ascii="Calibri" w:eastAsia="Times New Roman" w:hAnsi="Calibri" w:cs="Times New Roman"/>
                <w:sz w:val="21"/>
                <w:szCs w:val="21"/>
              </w:rPr>
            </w:pPr>
          </w:p>
        </w:tc>
        <w:tc>
          <w:tcPr>
            <w:tcW w:w="482"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p>
        </w:tc>
        <w:tc>
          <w:tcPr>
            <w:tcW w:w="578"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tcPr>
          <w:p w:rsidR="00547638" w:rsidRPr="00A90777" w:rsidRDefault="00547638" w:rsidP="00547638">
            <w:pPr>
              <w:spacing w:after="0" w:line="240" w:lineRule="auto"/>
              <w:ind w:left="720"/>
              <w:rPr>
                <w:rFonts w:eastAsia="Times New Roman" w:cs="Times New Roman"/>
                <w:sz w:val="21"/>
                <w:szCs w:val="21"/>
                <w:lang w:eastAsia="en-GB"/>
              </w:rPr>
            </w:pPr>
            <w:r w:rsidRPr="00A90777">
              <w:rPr>
                <w:rFonts w:eastAsia="Times New Roman" w:cs="Times New Roman"/>
                <w:sz w:val="21"/>
                <w:szCs w:val="21"/>
                <w:lang w:eastAsia="en-GB"/>
              </w:rPr>
              <w:t>British Virgin Islands</w:t>
            </w:r>
          </w:p>
        </w:tc>
        <w:tc>
          <w:tcPr>
            <w:tcW w:w="724"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spacing w:after="0" w:line="240" w:lineRule="auto"/>
              <w:ind w:firstLineChars="300" w:firstLine="630"/>
              <w:jc w:val="center"/>
              <w:rPr>
                <w:rFonts w:ascii="Calibri" w:eastAsia="Times New Roman" w:hAnsi="Calibri" w:cs="Times New Roman"/>
                <w:sz w:val="21"/>
                <w:szCs w:val="21"/>
              </w:rPr>
            </w:pPr>
          </w:p>
        </w:tc>
        <w:tc>
          <w:tcPr>
            <w:tcW w:w="482"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p>
        </w:tc>
        <w:tc>
          <w:tcPr>
            <w:tcW w:w="578"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tcPr>
          <w:p w:rsidR="00547638" w:rsidRPr="00A90777" w:rsidRDefault="00547638" w:rsidP="00547638">
            <w:pPr>
              <w:spacing w:after="0" w:line="240" w:lineRule="auto"/>
              <w:ind w:left="720"/>
              <w:rPr>
                <w:rFonts w:eastAsia="Times New Roman" w:cs="Times New Roman"/>
                <w:sz w:val="21"/>
                <w:szCs w:val="21"/>
                <w:lang w:eastAsia="en-GB"/>
              </w:rPr>
            </w:pPr>
            <w:r w:rsidRPr="00A90777">
              <w:rPr>
                <w:rFonts w:eastAsia="Times New Roman" w:cs="Times New Roman"/>
                <w:sz w:val="21"/>
                <w:szCs w:val="21"/>
                <w:lang w:eastAsia="en-GB"/>
              </w:rPr>
              <w:t>Cayman Islands</w:t>
            </w:r>
          </w:p>
        </w:tc>
        <w:tc>
          <w:tcPr>
            <w:tcW w:w="724"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1965</w:t>
            </w:r>
          </w:p>
        </w:tc>
        <w:tc>
          <w:tcPr>
            <w:tcW w:w="481" w:type="pct"/>
            <w:shd w:val="clear" w:color="auto" w:fill="auto"/>
            <w:vAlign w:val="center"/>
          </w:tcPr>
          <w:p w:rsidR="00547638" w:rsidRPr="00A90777" w:rsidRDefault="00547638" w:rsidP="00C27D0E">
            <w:pPr>
              <w:spacing w:after="0" w:line="240" w:lineRule="auto"/>
              <w:ind w:firstLineChars="300" w:firstLine="630"/>
              <w:jc w:val="center"/>
              <w:rPr>
                <w:rFonts w:ascii="Calibri" w:eastAsia="Times New Roman" w:hAnsi="Calibri" w:cs="Times New Roman"/>
                <w:sz w:val="21"/>
                <w:szCs w:val="21"/>
              </w:rPr>
            </w:pPr>
          </w:p>
        </w:tc>
        <w:tc>
          <w:tcPr>
            <w:tcW w:w="482"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p>
        </w:tc>
        <w:tc>
          <w:tcPr>
            <w:tcW w:w="578"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tcPr>
          <w:p w:rsidR="00547638" w:rsidRPr="00A90777" w:rsidRDefault="00547638" w:rsidP="00547638">
            <w:pPr>
              <w:spacing w:after="0" w:line="240" w:lineRule="auto"/>
              <w:ind w:left="720"/>
              <w:rPr>
                <w:rFonts w:eastAsia="Times New Roman" w:cs="Times New Roman"/>
                <w:sz w:val="21"/>
                <w:szCs w:val="21"/>
                <w:lang w:eastAsia="en-GB"/>
              </w:rPr>
            </w:pPr>
            <w:r w:rsidRPr="00A90777">
              <w:rPr>
                <w:rFonts w:eastAsia="Times New Roman" w:cs="Times New Roman"/>
                <w:sz w:val="21"/>
                <w:szCs w:val="21"/>
                <w:lang w:eastAsia="en-GB"/>
              </w:rPr>
              <w:t>Montserrat</w:t>
            </w:r>
          </w:p>
        </w:tc>
        <w:tc>
          <w:tcPr>
            <w:tcW w:w="724"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1977</w:t>
            </w:r>
          </w:p>
        </w:tc>
        <w:tc>
          <w:tcPr>
            <w:tcW w:w="481" w:type="pct"/>
            <w:shd w:val="clear" w:color="auto" w:fill="auto"/>
            <w:vAlign w:val="center"/>
          </w:tcPr>
          <w:p w:rsidR="00547638" w:rsidRPr="00A90777" w:rsidRDefault="00547638" w:rsidP="00C27D0E">
            <w:pPr>
              <w:spacing w:after="0" w:line="240" w:lineRule="auto"/>
              <w:ind w:firstLineChars="300" w:firstLine="630"/>
              <w:jc w:val="center"/>
              <w:rPr>
                <w:rFonts w:ascii="Calibri" w:eastAsia="Times New Roman" w:hAnsi="Calibri" w:cs="Times New Roman"/>
                <w:sz w:val="21"/>
                <w:szCs w:val="21"/>
              </w:rPr>
            </w:pPr>
          </w:p>
        </w:tc>
        <w:tc>
          <w:tcPr>
            <w:tcW w:w="482"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p>
        </w:tc>
        <w:tc>
          <w:tcPr>
            <w:tcW w:w="578"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tcPr>
          <w:p w:rsidR="00547638" w:rsidRPr="00A90777" w:rsidRDefault="00547638" w:rsidP="00547638">
            <w:pPr>
              <w:spacing w:after="0" w:line="240" w:lineRule="auto"/>
              <w:ind w:left="720"/>
              <w:rPr>
                <w:rFonts w:eastAsia="Times New Roman" w:cs="Times New Roman"/>
                <w:sz w:val="21"/>
                <w:szCs w:val="21"/>
                <w:lang w:eastAsia="en-GB"/>
              </w:rPr>
            </w:pPr>
            <w:r w:rsidRPr="00A90777">
              <w:rPr>
                <w:rFonts w:eastAsia="Times New Roman" w:cs="Times New Roman"/>
                <w:sz w:val="21"/>
                <w:szCs w:val="21"/>
                <w:lang w:eastAsia="en-GB"/>
              </w:rPr>
              <w:t>Pitcairn Islands</w:t>
            </w:r>
          </w:p>
        </w:tc>
        <w:tc>
          <w:tcPr>
            <w:tcW w:w="724"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1999</w:t>
            </w:r>
          </w:p>
        </w:tc>
        <w:tc>
          <w:tcPr>
            <w:tcW w:w="481" w:type="pct"/>
            <w:shd w:val="clear" w:color="auto" w:fill="auto"/>
            <w:vAlign w:val="center"/>
          </w:tcPr>
          <w:p w:rsidR="00547638" w:rsidRPr="00A90777" w:rsidRDefault="00547638" w:rsidP="00C27D0E">
            <w:pPr>
              <w:spacing w:after="0" w:line="240" w:lineRule="auto"/>
              <w:jc w:val="center"/>
              <w:rPr>
                <w:rFonts w:ascii="Calibri" w:eastAsia="Times New Roman" w:hAnsi="Calibri" w:cs="Times New Roman"/>
                <w:i/>
                <w:iCs/>
                <w:sz w:val="21"/>
                <w:szCs w:val="21"/>
              </w:rPr>
            </w:pPr>
          </w:p>
        </w:tc>
        <w:tc>
          <w:tcPr>
            <w:tcW w:w="482"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p>
        </w:tc>
        <w:tc>
          <w:tcPr>
            <w:tcW w:w="578"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tcPr>
          <w:p w:rsidR="00547638" w:rsidRPr="00A90777" w:rsidRDefault="00547638" w:rsidP="00547638">
            <w:pPr>
              <w:spacing w:after="0" w:line="240" w:lineRule="auto"/>
              <w:ind w:left="720"/>
              <w:rPr>
                <w:rFonts w:eastAsia="Times New Roman" w:cs="Times New Roman"/>
                <w:sz w:val="21"/>
                <w:szCs w:val="21"/>
                <w:lang w:eastAsia="en-GB"/>
              </w:rPr>
            </w:pPr>
            <w:r w:rsidRPr="00A90777">
              <w:rPr>
                <w:rFonts w:eastAsia="Times New Roman" w:cs="Times New Roman"/>
                <w:sz w:val="21"/>
                <w:szCs w:val="21"/>
                <w:lang w:eastAsia="en-GB"/>
              </w:rPr>
              <w:t>Saint Helena</w:t>
            </w:r>
          </w:p>
        </w:tc>
        <w:tc>
          <w:tcPr>
            <w:tcW w:w="724"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noWrap/>
            <w:vAlign w:val="center"/>
          </w:tcPr>
          <w:p w:rsidR="00547638" w:rsidRPr="00A90777" w:rsidRDefault="00547638" w:rsidP="00C27D0E">
            <w:pPr>
              <w:spacing w:after="0" w:line="240" w:lineRule="auto"/>
              <w:jc w:val="center"/>
              <w:rPr>
                <w:rFonts w:ascii="Calibri" w:eastAsia="Times New Roman" w:hAnsi="Calibri" w:cs="Times New Roman"/>
                <w:i/>
                <w:iCs/>
                <w:sz w:val="21"/>
                <w:szCs w:val="21"/>
              </w:rPr>
            </w:pPr>
          </w:p>
        </w:tc>
        <w:tc>
          <w:tcPr>
            <w:tcW w:w="482"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p>
        </w:tc>
        <w:tc>
          <w:tcPr>
            <w:tcW w:w="578"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tcPr>
          <w:p w:rsidR="00547638" w:rsidRPr="00A90777" w:rsidRDefault="00547638" w:rsidP="00547638">
            <w:pPr>
              <w:spacing w:after="0" w:line="240" w:lineRule="auto"/>
              <w:ind w:left="720"/>
              <w:rPr>
                <w:rFonts w:eastAsia="Times New Roman" w:cs="Times New Roman"/>
                <w:sz w:val="21"/>
                <w:szCs w:val="21"/>
                <w:lang w:eastAsia="en-GB"/>
              </w:rPr>
            </w:pPr>
            <w:r w:rsidRPr="00A90777">
              <w:rPr>
                <w:rFonts w:eastAsia="Times New Roman" w:cs="Times New Roman"/>
                <w:sz w:val="21"/>
                <w:szCs w:val="21"/>
                <w:lang w:eastAsia="en-GB"/>
              </w:rPr>
              <w:t>Turks and Caicos Islands</w:t>
            </w:r>
          </w:p>
        </w:tc>
        <w:tc>
          <w:tcPr>
            <w:tcW w:w="724"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1979</w:t>
            </w:r>
          </w:p>
        </w:tc>
        <w:tc>
          <w:tcPr>
            <w:tcW w:w="481" w:type="pct"/>
            <w:shd w:val="clear" w:color="auto" w:fill="auto"/>
            <w:vAlign w:val="center"/>
          </w:tcPr>
          <w:p w:rsidR="00547638" w:rsidRPr="00A90777" w:rsidRDefault="00547638" w:rsidP="00C27D0E">
            <w:pPr>
              <w:spacing w:after="0" w:line="240" w:lineRule="auto"/>
              <w:jc w:val="center"/>
              <w:rPr>
                <w:rFonts w:ascii="Calibri" w:eastAsia="Times New Roman" w:hAnsi="Calibri" w:cs="Times New Roman"/>
                <w:i/>
                <w:iCs/>
                <w:sz w:val="21"/>
                <w:szCs w:val="21"/>
              </w:rPr>
            </w:pPr>
          </w:p>
        </w:tc>
        <w:tc>
          <w:tcPr>
            <w:tcW w:w="482"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p>
        </w:tc>
        <w:tc>
          <w:tcPr>
            <w:tcW w:w="578"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United Republic of Tanzania</w:t>
            </w:r>
          </w:p>
        </w:tc>
        <w:tc>
          <w:tcPr>
            <w:tcW w:w="724"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spacing w:after="0" w:line="240" w:lineRule="auto"/>
              <w:ind w:firstLineChars="300" w:firstLine="630"/>
              <w:jc w:val="center"/>
              <w:rPr>
                <w:rFonts w:ascii="Calibri" w:eastAsia="Times New Roman" w:hAnsi="Calibri" w:cs="Times New Roman"/>
                <w:sz w:val="21"/>
                <w:szCs w:val="21"/>
              </w:rPr>
            </w:pPr>
          </w:p>
        </w:tc>
        <w:tc>
          <w:tcPr>
            <w:tcW w:w="482"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2017</w:t>
            </w:r>
          </w:p>
        </w:tc>
        <w:tc>
          <w:tcPr>
            <w:tcW w:w="578"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United States of America</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1965</w:t>
            </w:r>
          </w:p>
        </w:tc>
        <w:tc>
          <w:tcPr>
            <w:tcW w:w="481" w:type="pct"/>
            <w:shd w:val="clear" w:color="auto" w:fill="auto"/>
            <w:vAlign w:val="center"/>
          </w:tcPr>
          <w:p w:rsidR="00547638" w:rsidRPr="00A90777" w:rsidRDefault="00547638" w:rsidP="00C27D0E">
            <w:pPr>
              <w:spacing w:after="0" w:line="240" w:lineRule="auto"/>
              <w:ind w:firstLineChars="300" w:firstLine="630"/>
              <w:jc w:val="center"/>
              <w:rPr>
                <w:rFonts w:ascii="Calibri" w:eastAsia="Times New Roman" w:hAnsi="Calibri" w:cs="Times New Roman"/>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1997</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1999</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tcPr>
          <w:p w:rsidR="00547638" w:rsidRPr="00A90777" w:rsidRDefault="00547638" w:rsidP="00547638">
            <w:pPr>
              <w:spacing w:after="0" w:line="240" w:lineRule="auto"/>
              <w:ind w:left="720"/>
              <w:rPr>
                <w:rFonts w:eastAsia="Times New Roman" w:cs="Times New Roman"/>
                <w:sz w:val="21"/>
                <w:szCs w:val="21"/>
                <w:lang w:eastAsia="en-GB"/>
              </w:rPr>
            </w:pPr>
            <w:r w:rsidRPr="00A90777">
              <w:rPr>
                <w:rFonts w:eastAsia="Times New Roman" w:cs="Times New Roman"/>
                <w:sz w:val="21"/>
                <w:szCs w:val="21"/>
                <w:lang w:eastAsia="en-GB"/>
              </w:rPr>
              <w:t xml:space="preserve">American Samoa </w:t>
            </w:r>
          </w:p>
        </w:tc>
        <w:tc>
          <w:tcPr>
            <w:tcW w:w="724" w:type="pct"/>
            <w:shd w:val="clear" w:color="auto" w:fill="auto"/>
            <w:vAlign w:val="center"/>
          </w:tcPr>
          <w:p w:rsidR="00547638" w:rsidRPr="00A90777" w:rsidRDefault="00804CBA" w:rsidP="00804CBA">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spacing w:after="0" w:line="240" w:lineRule="auto"/>
              <w:ind w:firstLineChars="300" w:firstLine="630"/>
              <w:jc w:val="center"/>
              <w:rPr>
                <w:rFonts w:ascii="Calibri" w:eastAsia="Times New Roman" w:hAnsi="Calibri" w:cs="Times New Roman"/>
                <w:sz w:val="21"/>
                <w:szCs w:val="21"/>
              </w:rPr>
            </w:pPr>
          </w:p>
        </w:tc>
        <w:tc>
          <w:tcPr>
            <w:tcW w:w="482"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p>
        </w:tc>
        <w:tc>
          <w:tcPr>
            <w:tcW w:w="578"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2005</w:t>
            </w:r>
          </w:p>
        </w:tc>
        <w:tc>
          <w:tcPr>
            <w:tcW w:w="531"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tcPr>
          <w:p w:rsidR="00547638" w:rsidRPr="00A90777" w:rsidRDefault="00547638" w:rsidP="00547638">
            <w:pPr>
              <w:spacing w:after="0" w:line="240" w:lineRule="auto"/>
              <w:ind w:left="720"/>
              <w:rPr>
                <w:rFonts w:eastAsia="Times New Roman" w:cs="Times New Roman"/>
                <w:sz w:val="21"/>
                <w:szCs w:val="21"/>
                <w:highlight w:val="yellow"/>
                <w:lang w:eastAsia="en-GB"/>
              </w:rPr>
            </w:pPr>
            <w:r w:rsidRPr="00A90777">
              <w:rPr>
                <w:rFonts w:eastAsia="Times New Roman" w:cs="Times New Roman"/>
                <w:sz w:val="21"/>
                <w:szCs w:val="21"/>
                <w:lang w:eastAsia="en-GB"/>
              </w:rPr>
              <w:t xml:space="preserve">Guam </w:t>
            </w:r>
          </w:p>
        </w:tc>
        <w:tc>
          <w:tcPr>
            <w:tcW w:w="724" w:type="pct"/>
            <w:shd w:val="clear" w:color="auto" w:fill="auto"/>
            <w:vAlign w:val="center"/>
          </w:tcPr>
          <w:p w:rsidR="00547638" w:rsidRPr="00A90777" w:rsidRDefault="00804CBA"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spacing w:after="0" w:line="240" w:lineRule="auto"/>
              <w:jc w:val="center"/>
              <w:rPr>
                <w:rFonts w:ascii="Calibri" w:eastAsia="Times New Roman" w:hAnsi="Calibri" w:cs="Times New Roman"/>
                <w:sz w:val="21"/>
                <w:szCs w:val="21"/>
              </w:rPr>
            </w:pPr>
          </w:p>
        </w:tc>
        <w:tc>
          <w:tcPr>
            <w:tcW w:w="482"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p>
        </w:tc>
        <w:tc>
          <w:tcPr>
            <w:tcW w:w="578"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1998</w:t>
            </w:r>
          </w:p>
        </w:tc>
        <w:tc>
          <w:tcPr>
            <w:tcW w:w="531"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tcPr>
          <w:p w:rsidR="00547638" w:rsidRPr="00A90777" w:rsidRDefault="00547638" w:rsidP="00547638">
            <w:pPr>
              <w:spacing w:after="0" w:line="240" w:lineRule="auto"/>
              <w:ind w:left="720"/>
              <w:rPr>
                <w:rFonts w:eastAsia="Times New Roman" w:cs="Times New Roman"/>
                <w:sz w:val="21"/>
                <w:szCs w:val="21"/>
                <w:lang w:eastAsia="en-GB"/>
              </w:rPr>
            </w:pPr>
            <w:r w:rsidRPr="00A90777">
              <w:rPr>
                <w:rFonts w:eastAsia="Times New Roman" w:cs="Times New Roman"/>
                <w:sz w:val="21"/>
                <w:szCs w:val="21"/>
                <w:lang w:eastAsia="en-GB"/>
              </w:rPr>
              <w:t>Northern Mariana Islands</w:t>
            </w:r>
          </w:p>
        </w:tc>
        <w:tc>
          <w:tcPr>
            <w:tcW w:w="724" w:type="pct"/>
            <w:shd w:val="clear" w:color="auto" w:fill="auto"/>
            <w:vAlign w:val="center"/>
          </w:tcPr>
          <w:p w:rsidR="00547638" w:rsidRPr="00A90777" w:rsidRDefault="00804CBA"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spacing w:after="0" w:line="240" w:lineRule="auto"/>
              <w:jc w:val="center"/>
              <w:rPr>
                <w:rFonts w:ascii="Calibri" w:eastAsia="Times New Roman" w:hAnsi="Calibri" w:cs="Times New Roman"/>
                <w:sz w:val="21"/>
                <w:szCs w:val="21"/>
              </w:rPr>
            </w:pPr>
          </w:p>
        </w:tc>
        <w:tc>
          <w:tcPr>
            <w:tcW w:w="482"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p>
        </w:tc>
        <w:tc>
          <w:tcPr>
            <w:tcW w:w="578"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1998</w:t>
            </w:r>
          </w:p>
        </w:tc>
        <w:tc>
          <w:tcPr>
            <w:tcW w:w="531"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tcPr>
          <w:p w:rsidR="00547638" w:rsidRPr="00A90777" w:rsidRDefault="00547638" w:rsidP="00547638">
            <w:pPr>
              <w:spacing w:after="0" w:line="240" w:lineRule="auto"/>
              <w:ind w:left="720"/>
              <w:rPr>
                <w:rFonts w:eastAsia="Times New Roman" w:cs="Times New Roman"/>
                <w:sz w:val="21"/>
                <w:szCs w:val="21"/>
                <w:lang w:eastAsia="en-GB"/>
              </w:rPr>
            </w:pPr>
            <w:r w:rsidRPr="00A90777">
              <w:rPr>
                <w:rFonts w:eastAsia="Times New Roman" w:cs="Times New Roman"/>
                <w:sz w:val="21"/>
                <w:szCs w:val="21"/>
                <w:lang w:eastAsia="en-GB"/>
              </w:rPr>
              <w:t>Puerto Rico</w:t>
            </w:r>
          </w:p>
        </w:tc>
        <w:tc>
          <w:tcPr>
            <w:tcW w:w="724"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1975</w:t>
            </w:r>
          </w:p>
        </w:tc>
        <w:tc>
          <w:tcPr>
            <w:tcW w:w="481" w:type="pct"/>
            <w:shd w:val="clear" w:color="auto" w:fill="auto"/>
            <w:vAlign w:val="center"/>
          </w:tcPr>
          <w:p w:rsidR="00547638" w:rsidRPr="00A90777" w:rsidRDefault="00547638" w:rsidP="00C27D0E">
            <w:pPr>
              <w:spacing w:after="0" w:line="240" w:lineRule="auto"/>
              <w:jc w:val="center"/>
              <w:rPr>
                <w:rFonts w:ascii="Calibri" w:eastAsia="Times New Roman" w:hAnsi="Calibri" w:cs="Times New Roman"/>
                <w:i/>
                <w:iCs/>
                <w:sz w:val="21"/>
                <w:szCs w:val="21"/>
              </w:rPr>
            </w:pPr>
          </w:p>
        </w:tc>
        <w:tc>
          <w:tcPr>
            <w:tcW w:w="482"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p>
        </w:tc>
        <w:tc>
          <w:tcPr>
            <w:tcW w:w="578"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tcPr>
          <w:p w:rsidR="00547638" w:rsidRPr="00A90777" w:rsidRDefault="00547638" w:rsidP="00547638">
            <w:pPr>
              <w:spacing w:after="0" w:line="240" w:lineRule="auto"/>
              <w:ind w:left="720"/>
              <w:rPr>
                <w:rFonts w:eastAsia="Times New Roman" w:cs="Times New Roman"/>
                <w:sz w:val="21"/>
                <w:szCs w:val="21"/>
                <w:lang w:eastAsia="en-GB"/>
              </w:rPr>
            </w:pPr>
            <w:r w:rsidRPr="00A90777">
              <w:rPr>
                <w:rFonts w:eastAsia="Times New Roman" w:cs="Times New Roman"/>
                <w:sz w:val="21"/>
                <w:szCs w:val="21"/>
                <w:lang w:eastAsia="en-GB"/>
              </w:rPr>
              <w:t>US Virgin Islands</w:t>
            </w:r>
          </w:p>
        </w:tc>
        <w:tc>
          <w:tcPr>
            <w:tcW w:w="724"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1982</w:t>
            </w:r>
          </w:p>
        </w:tc>
        <w:tc>
          <w:tcPr>
            <w:tcW w:w="481" w:type="pct"/>
            <w:shd w:val="clear" w:color="auto" w:fill="auto"/>
            <w:vAlign w:val="center"/>
          </w:tcPr>
          <w:p w:rsidR="00547638" w:rsidRPr="00A90777" w:rsidRDefault="00547638" w:rsidP="00C27D0E">
            <w:pPr>
              <w:spacing w:after="0" w:line="240" w:lineRule="auto"/>
              <w:ind w:firstLineChars="300" w:firstLine="630"/>
              <w:jc w:val="center"/>
              <w:rPr>
                <w:rFonts w:ascii="Calibri" w:eastAsia="Times New Roman" w:hAnsi="Calibri" w:cs="Times New Roman"/>
                <w:sz w:val="21"/>
                <w:szCs w:val="21"/>
              </w:rPr>
            </w:pPr>
          </w:p>
        </w:tc>
        <w:tc>
          <w:tcPr>
            <w:tcW w:w="482"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p>
        </w:tc>
        <w:tc>
          <w:tcPr>
            <w:tcW w:w="578"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tcBorders>
              <w:bottom w:val="single" w:sz="4" w:space="0" w:color="auto"/>
            </w:tcBorders>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Uruguay</w:t>
            </w:r>
          </w:p>
        </w:tc>
        <w:tc>
          <w:tcPr>
            <w:tcW w:w="724"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1979</w:t>
            </w:r>
          </w:p>
        </w:tc>
        <w:tc>
          <w:tcPr>
            <w:tcW w:w="481" w:type="pct"/>
            <w:shd w:val="clear" w:color="auto" w:fill="auto"/>
            <w:vAlign w:val="center"/>
          </w:tcPr>
          <w:p w:rsidR="00547638" w:rsidRPr="00A90777" w:rsidRDefault="00547638" w:rsidP="00C27D0E">
            <w:pPr>
              <w:spacing w:after="0" w:line="240" w:lineRule="auto"/>
              <w:ind w:firstLineChars="300" w:firstLine="630"/>
              <w:jc w:val="center"/>
              <w:rPr>
                <w:rFonts w:ascii="Calibri" w:eastAsia="Times New Roman" w:hAnsi="Calibri" w:cs="Times New Roman"/>
                <w:sz w:val="21"/>
                <w:szCs w:val="21"/>
              </w:rPr>
            </w:pPr>
          </w:p>
        </w:tc>
        <w:tc>
          <w:tcPr>
            <w:tcW w:w="482"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2012</w:t>
            </w:r>
          </w:p>
        </w:tc>
        <w:tc>
          <w:tcPr>
            <w:tcW w:w="578"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2011</w:t>
            </w:r>
          </w:p>
        </w:tc>
        <w:tc>
          <w:tcPr>
            <w:tcW w:w="531"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tcBorders>
              <w:left w:val="nil"/>
            </w:tcBorders>
            <w:shd w:val="clear" w:color="auto" w:fill="auto"/>
            <w:vAlign w:val="center"/>
          </w:tcPr>
          <w:p w:rsidR="00547638" w:rsidRPr="00A90777" w:rsidRDefault="00547638" w:rsidP="00547638">
            <w:pPr>
              <w:jc w:val="center"/>
              <w:rPr>
                <w:rFonts w:eastAsia="Times New Roman" w:cs="Times New Roman"/>
                <w:sz w:val="2"/>
                <w:szCs w:val="21"/>
                <w:lang w:eastAsia="en-GB"/>
              </w:rPr>
            </w:pPr>
          </w:p>
        </w:tc>
        <w:tc>
          <w:tcPr>
            <w:tcW w:w="4826" w:type="pct"/>
            <w:gridSpan w:val="8"/>
            <w:shd w:val="clear" w:color="auto" w:fill="auto"/>
            <w:vAlign w:val="center"/>
          </w:tcPr>
          <w:p w:rsidR="00547638" w:rsidRPr="00A90777" w:rsidRDefault="00547638" w:rsidP="00547638">
            <w:pPr>
              <w:spacing w:after="0" w:line="240" w:lineRule="auto"/>
              <w:rPr>
                <w:rFonts w:eastAsia="Times New Roman" w:cs="Times New Roman"/>
                <w:sz w:val="21"/>
                <w:szCs w:val="21"/>
                <w:lang w:eastAsia="en-GB"/>
              </w:rPr>
            </w:pPr>
            <w:r w:rsidRPr="00A90777">
              <w:rPr>
                <w:rFonts w:ascii="Calibri" w:eastAsia="Times New Roman" w:hAnsi="Calibri" w:cs="Times New Roman"/>
                <w:i/>
                <w:iCs/>
                <w:sz w:val="21"/>
                <w:szCs w:val="21"/>
              </w:rPr>
              <w:t>US Virgin Islands: see under the United States of America</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Uzbekistan</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1991</w:t>
            </w:r>
          </w:p>
        </w:tc>
        <w:tc>
          <w:tcPr>
            <w:tcW w:w="481" w:type="pct"/>
            <w:shd w:val="clear" w:color="auto" w:fill="auto"/>
            <w:vAlign w:val="center"/>
          </w:tcPr>
          <w:p w:rsidR="00547638" w:rsidRPr="00A90777" w:rsidRDefault="00547638" w:rsidP="00C27D0E">
            <w:pPr>
              <w:spacing w:after="0" w:line="240" w:lineRule="auto"/>
              <w:jc w:val="center"/>
              <w:rPr>
                <w:rFonts w:ascii="Calibri" w:eastAsia="Times New Roman" w:hAnsi="Calibri" w:cs="Times New Roman"/>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2017</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Vanuatu</w:t>
            </w:r>
          </w:p>
        </w:tc>
        <w:tc>
          <w:tcPr>
            <w:tcW w:w="724" w:type="pct"/>
            <w:shd w:val="clear" w:color="auto" w:fill="auto"/>
            <w:vAlign w:val="center"/>
            <w:hideMark/>
          </w:tcPr>
          <w:p w:rsidR="00547638" w:rsidRPr="00A90777" w:rsidRDefault="00804CBA"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spacing w:after="0" w:line="240" w:lineRule="auto"/>
              <w:jc w:val="center"/>
              <w:rPr>
                <w:rFonts w:ascii="Calibri" w:eastAsia="Times New Roman" w:hAnsi="Calibri" w:cs="Times New Roman"/>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2015-11</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vAlign w:val="center"/>
            <w:hideMark/>
          </w:tcPr>
          <w:p w:rsidR="00547638" w:rsidRPr="00A90777" w:rsidRDefault="00547638" w:rsidP="00547638">
            <w:pPr>
              <w:spacing w:after="0" w:line="240" w:lineRule="auto"/>
              <w:rPr>
                <w:rFonts w:ascii="Calibri" w:eastAsia="Times New Roman" w:hAnsi="Calibri" w:cs="Times New Roman"/>
                <w:sz w:val="21"/>
                <w:szCs w:val="21"/>
              </w:rPr>
            </w:pPr>
            <w:r w:rsidRPr="00A90777">
              <w:rPr>
                <w:rFonts w:ascii="Calibri" w:eastAsia="Times New Roman" w:hAnsi="Calibri" w:cs="Times New Roman"/>
                <w:sz w:val="21"/>
                <w:szCs w:val="21"/>
              </w:rPr>
              <w:t>Venezuela, Bolivarian Republic of</w:t>
            </w:r>
          </w:p>
        </w:tc>
        <w:tc>
          <w:tcPr>
            <w:tcW w:w="724"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noWrap/>
            <w:vAlign w:val="center"/>
          </w:tcPr>
          <w:p w:rsidR="00547638" w:rsidRPr="00A90777" w:rsidRDefault="00547638" w:rsidP="00C27D0E">
            <w:pPr>
              <w:spacing w:after="0" w:line="240" w:lineRule="auto"/>
              <w:ind w:firstLineChars="300" w:firstLine="630"/>
              <w:jc w:val="center"/>
              <w:rPr>
                <w:rFonts w:ascii="Calibri" w:eastAsia="Times New Roman" w:hAnsi="Calibri" w:cs="Times New Roman"/>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January 2016</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tcBorders>
              <w:bottom w:val="single" w:sz="4" w:space="0" w:color="auto"/>
            </w:tcBorders>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Viet Nam</w:t>
            </w:r>
          </w:p>
        </w:tc>
        <w:tc>
          <w:tcPr>
            <w:tcW w:w="724"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1991</w:t>
            </w:r>
          </w:p>
        </w:tc>
        <w:tc>
          <w:tcPr>
            <w:tcW w:w="481" w:type="pct"/>
            <w:shd w:val="clear" w:color="auto" w:fill="auto"/>
            <w:noWrap/>
            <w:vAlign w:val="center"/>
          </w:tcPr>
          <w:p w:rsidR="00547638" w:rsidRPr="00A90777" w:rsidRDefault="00547638" w:rsidP="00C27D0E">
            <w:pPr>
              <w:spacing w:after="0" w:line="240" w:lineRule="auto"/>
              <w:ind w:firstLineChars="300" w:firstLine="630"/>
              <w:jc w:val="center"/>
              <w:rPr>
                <w:rFonts w:ascii="Calibri" w:eastAsia="Times New Roman" w:hAnsi="Calibri" w:cs="Times New Roman"/>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2017</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February 2012</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tcBorders>
              <w:left w:val="nil"/>
            </w:tcBorders>
            <w:shd w:val="clear" w:color="auto" w:fill="auto"/>
            <w:vAlign w:val="center"/>
          </w:tcPr>
          <w:p w:rsidR="00547638" w:rsidRPr="00A90777" w:rsidRDefault="00547638" w:rsidP="00547638">
            <w:pPr>
              <w:jc w:val="center"/>
              <w:rPr>
                <w:rFonts w:eastAsia="Times New Roman" w:cs="Times New Roman"/>
                <w:sz w:val="21"/>
                <w:szCs w:val="21"/>
                <w:lang w:eastAsia="en-GB"/>
              </w:rPr>
            </w:pPr>
          </w:p>
        </w:tc>
        <w:tc>
          <w:tcPr>
            <w:tcW w:w="4826" w:type="pct"/>
            <w:gridSpan w:val="8"/>
            <w:shd w:val="clear" w:color="auto" w:fill="auto"/>
            <w:vAlign w:val="center"/>
          </w:tcPr>
          <w:p w:rsidR="00C3162D" w:rsidRPr="00A90777" w:rsidRDefault="00547638" w:rsidP="00547638">
            <w:pPr>
              <w:spacing w:after="0" w:line="240" w:lineRule="auto"/>
              <w:rPr>
                <w:rFonts w:ascii="Calibri" w:eastAsia="Times New Roman" w:hAnsi="Calibri" w:cs="Times New Roman"/>
                <w:i/>
                <w:iCs/>
                <w:sz w:val="21"/>
                <w:szCs w:val="21"/>
                <w:lang w:val="en-GB"/>
              </w:rPr>
            </w:pPr>
            <w:r w:rsidRPr="00A90777">
              <w:rPr>
                <w:rFonts w:ascii="Calibri" w:eastAsia="Times New Roman" w:hAnsi="Calibri" w:cs="Times New Roman"/>
                <w:i/>
                <w:iCs/>
                <w:sz w:val="21"/>
                <w:szCs w:val="21"/>
              </w:rPr>
              <w:t>Virgin Islands, British: see under the United Kingdom of Great Britain and Northern Ireland</w:t>
            </w:r>
            <w:r w:rsidRPr="00A90777">
              <w:rPr>
                <w:rFonts w:ascii="Calibri" w:eastAsia="Times New Roman" w:hAnsi="Calibri" w:cs="Times New Roman"/>
                <w:i/>
                <w:iCs/>
                <w:sz w:val="21"/>
                <w:szCs w:val="21"/>
                <w:lang w:val="en-GB"/>
              </w:rPr>
              <w:t xml:space="preserve">; </w:t>
            </w:r>
          </w:p>
          <w:p w:rsidR="00C3162D" w:rsidRPr="00A90777" w:rsidRDefault="00547638" w:rsidP="00547638">
            <w:pPr>
              <w:spacing w:after="0" w:line="240" w:lineRule="auto"/>
              <w:rPr>
                <w:rFonts w:ascii="Calibri" w:eastAsia="Times New Roman" w:hAnsi="Calibri" w:cs="Times New Roman"/>
                <w:i/>
                <w:iCs/>
                <w:sz w:val="21"/>
                <w:szCs w:val="21"/>
              </w:rPr>
            </w:pPr>
            <w:r w:rsidRPr="00A90777">
              <w:rPr>
                <w:rFonts w:ascii="Calibri" w:eastAsia="Times New Roman" w:hAnsi="Calibri" w:cs="Times New Roman"/>
                <w:i/>
                <w:iCs/>
                <w:sz w:val="21"/>
                <w:szCs w:val="21"/>
              </w:rPr>
              <w:t xml:space="preserve">Virgin Islands, US: see under the United States of America; </w:t>
            </w:r>
          </w:p>
          <w:p w:rsidR="00547638" w:rsidRPr="00A90777" w:rsidRDefault="00547638" w:rsidP="00547638">
            <w:pPr>
              <w:spacing w:after="0" w:line="240" w:lineRule="auto"/>
              <w:rPr>
                <w:rFonts w:eastAsia="Times New Roman" w:cs="Times New Roman"/>
                <w:sz w:val="21"/>
                <w:szCs w:val="21"/>
                <w:lang w:eastAsia="en-GB"/>
              </w:rPr>
            </w:pPr>
            <w:r w:rsidRPr="00A90777">
              <w:rPr>
                <w:rFonts w:ascii="Calibri" w:eastAsia="Times New Roman" w:hAnsi="Calibri" w:cs="Times New Roman"/>
                <w:i/>
                <w:iCs/>
                <w:sz w:val="21"/>
                <w:szCs w:val="21"/>
              </w:rPr>
              <w:t>Wallis and Futuna: see under France</w:t>
            </w:r>
          </w:p>
        </w:tc>
      </w:tr>
      <w:tr w:rsidR="00A90777" w:rsidRPr="00A90777" w:rsidTr="00C27D0E">
        <w:trPr>
          <w:trHeight w:val="510"/>
        </w:trPr>
        <w:tc>
          <w:tcPr>
            <w:tcW w:w="174" w:type="pct"/>
            <w:tcBorders>
              <w:bottom w:val="single" w:sz="4" w:space="0" w:color="auto"/>
            </w:tcBorders>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Yemen</w:t>
            </w:r>
          </w:p>
        </w:tc>
        <w:tc>
          <w:tcPr>
            <w:tcW w:w="724"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spacing w:after="0" w:line="240" w:lineRule="auto"/>
              <w:jc w:val="center"/>
              <w:rPr>
                <w:rFonts w:ascii="Calibri" w:eastAsia="Times New Roman" w:hAnsi="Calibri" w:cs="Times New Roman"/>
                <w:i/>
                <w:iCs/>
                <w:sz w:val="21"/>
                <w:szCs w:val="21"/>
              </w:rPr>
            </w:pPr>
          </w:p>
        </w:tc>
        <w:tc>
          <w:tcPr>
            <w:tcW w:w="482"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2015-11</w:t>
            </w:r>
          </w:p>
        </w:tc>
        <w:tc>
          <w:tcPr>
            <w:tcW w:w="578"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October 2011</w:t>
            </w:r>
          </w:p>
        </w:tc>
        <w:tc>
          <w:tcPr>
            <w:tcW w:w="530"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12"/>
                <w:szCs w:val="21"/>
                <w:lang w:eastAsia="en-GB"/>
              </w:rPr>
            </w:pPr>
            <w:r w:rsidRPr="00A90777">
              <w:rPr>
                <w:rFonts w:eastAsia="Times New Roman" w:cs="Times New Roman"/>
                <w:sz w:val="21"/>
                <w:szCs w:val="21"/>
                <w:lang w:eastAsia="en-GB"/>
              </w:rPr>
              <w:t>Zambia</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spacing w:after="0" w:line="240" w:lineRule="auto"/>
              <w:jc w:val="center"/>
              <w:rPr>
                <w:rFonts w:ascii="Calibri" w:eastAsia="Times New Roman" w:hAnsi="Calibri" w:cs="Times New Roman"/>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2017</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hideMark/>
          </w:tcPr>
          <w:p w:rsidR="00547638" w:rsidRPr="00A90777" w:rsidRDefault="00547638" w:rsidP="00547638">
            <w:pPr>
              <w:spacing w:after="0" w:line="240" w:lineRule="auto"/>
              <w:rPr>
                <w:rFonts w:eastAsia="Times New Roman" w:cs="Times New Roman"/>
                <w:sz w:val="21"/>
                <w:szCs w:val="21"/>
                <w:lang w:eastAsia="en-GB"/>
              </w:rPr>
            </w:pPr>
            <w:r w:rsidRPr="00A90777">
              <w:rPr>
                <w:rFonts w:eastAsia="Times New Roman" w:cs="Times New Roman"/>
                <w:sz w:val="21"/>
                <w:szCs w:val="21"/>
                <w:lang w:eastAsia="en-GB"/>
              </w:rPr>
              <w:t>Zimbabwe</w:t>
            </w:r>
          </w:p>
        </w:tc>
        <w:tc>
          <w:tcPr>
            <w:tcW w:w="724"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spacing w:after="0" w:line="240" w:lineRule="auto"/>
              <w:jc w:val="center"/>
              <w:rPr>
                <w:rFonts w:ascii="Calibri" w:eastAsia="Times New Roman" w:hAnsi="Calibri" w:cs="Times New Roman"/>
                <w:sz w:val="21"/>
                <w:szCs w:val="21"/>
              </w:rPr>
            </w:pPr>
          </w:p>
        </w:tc>
        <w:tc>
          <w:tcPr>
            <w:tcW w:w="482"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December 2017</w:t>
            </w:r>
          </w:p>
        </w:tc>
        <w:tc>
          <w:tcPr>
            <w:tcW w:w="578" w:type="pct"/>
            <w:shd w:val="clear" w:color="auto" w:fill="auto"/>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hideMark/>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r w:rsidR="00A90777" w:rsidRPr="00A90777" w:rsidTr="00C27D0E">
        <w:trPr>
          <w:trHeight w:val="510"/>
        </w:trPr>
        <w:tc>
          <w:tcPr>
            <w:tcW w:w="174" w:type="pct"/>
            <w:shd w:val="clear" w:color="auto" w:fill="auto"/>
            <w:vAlign w:val="center"/>
          </w:tcPr>
          <w:p w:rsidR="00547638" w:rsidRPr="00A90777" w:rsidRDefault="00547638" w:rsidP="00547638">
            <w:pPr>
              <w:pStyle w:val="ListParagraph"/>
              <w:numPr>
                <w:ilvl w:val="0"/>
                <w:numId w:val="32"/>
              </w:numPr>
              <w:spacing w:after="0" w:line="240" w:lineRule="auto"/>
              <w:jc w:val="center"/>
              <w:rPr>
                <w:rFonts w:eastAsia="Times New Roman" w:cs="Times New Roman"/>
                <w:sz w:val="21"/>
                <w:szCs w:val="21"/>
                <w:lang w:eastAsia="en-GB"/>
              </w:rPr>
            </w:pPr>
          </w:p>
        </w:tc>
        <w:tc>
          <w:tcPr>
            <w:tcW w:w="923" w:type="pct"/>
            <w:shd w:val="clear" w:color="auto" w:fill="auto"/>
            <w:noWrap/>
            <w:vAlign w:val="center"/>
          </w:tcPr>
          <w:p w:rsidR="00547638" w:rsidRPr="00A90777" w:rsidRDefault="00547638" w:rsidP="00547638">
            <w:pPr>
              <w:spacing w:after="0" w:line="240" w:lineRule="auto"/>
              <w:rPr>
                <w:rFonts w:ascii="Calibri" w:eastAsia="Times New Roman" w:hAnsi="Calibri" w:cs="Times New Roman"/>
                <w:sz w:val="21"/>
                <w:szCs w:val="21"/>
              </w:rPr>
            </w:pPr>
            <w:r w:rsidRPr="00A90777">
              <w:rPr>
                <w:rFonts w:ascii="Calibri" w:eastAsia="Times New Roman" w:hAnsi="Calibri" w:cs="Times New Roman"/>
                <w:sz w:val="21"/>
                <w:szCs w:val="21"/>
              </w:rPr>
              <w:t xml:space="preserve">West Bank and Gaza Strip </w:t>
            </w:r>
          </w:p>
        </w:tc>
        <w:tc>
          <w:tcPr>
            <w:tcW w:w="724"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 reported</w:t>
            </w:r>
          </w:p>
        </w:tc>
        <w:tc>
          <w:tcPr>
            <w:tcW w:w="481" w:type="pct"/>
            <w:shd w:val="clear" w:color="auto" w:fill="auto"/>
            <w:vAlign w:val="center"/>
          </w:tcPr>
          <w:p w:rsidR="00547638" w:rsidRPr="00A90777" w:rsidRDefault="00547638" w:rsidP="00C27D0E">
            <w:pPr>
              <w:ind w:firstLineChars="300" w:firstLine="630"/>
              <w:jc w:val="center"/>
              <w:rPr>
                <w:sz w:val="21"/>
                <w:szCs w:val="21"/>
              </w:rPr>
            </w:pPr>
          </w:p>
        </w:tc>
        <w:tc>
          <w:tcPr>
            <w:tcW w:w="482"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p>
        </w:tc>
        <w:tc>
          <w:tcPr>
            <w:tcW w:w="578" w:type="pct"/>
            <w:shd w:val="clear" w:color="auto" w:fill="auto"/>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30"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April 2016</w:t>
            </w:r>
          </w:p>
        </w:tc>
        <w:tc>
          <w:tcPr>
            <w:tcW w:w="531"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c>
          <w:tcPr>
            <w:tcW w:w="579" w:type="pct"/>
            <w:shd w:val="clear" w:color="auto" w:fill="auto"/>
            <w:noWrap/>
            <w:vAlign w:val="center"/>
          </w:tcPr>
          <w:p w:rsidR="00547638" w:rsidRPr="00A90777" w:rsidRDefault="00547638" w:rsidP="00C27D0E">
            <w:pPr>
              <w:spacing w:after="0" w:line="240" w:lineRule="auto"/>
              <w:jc w:val="center"/>
              <w:rPr>
                <w:rFonts w:eastAsia="Times New Roman" w:cs="Times New Roman"/>
                <w:sz w:val="21"/>
                <w:szCs w:val="21"/>
                <w:lang w:eastAsia="en-GB"/>
              </w:rPr>
            </w:pPr>
            <w:r w:rsidRPr="00A90777">
              <w:rPr>
                <w:rFonts w:eastAsia="Times New Roman" w:cs="Times New Roman"/>
                <w:sz w:val="21"/>
                <w:szCs w:val="21"/>
                <w:lang w:eastAsia="en-GB"/>
              </w:rPr>
              <w:t>None</w:t>
            </w:r>
          </w:p>
        </w:tc>
      </w:tr>
    </w:tbl>
    <w:p w:rsidR="000F7550" w:rsidRPr="005D634A" w:rsidRDefault="000F7550" w:rsidP="00602C97">
      <w:pPr>
        <w:pStyle w:val="ListParagraph"/>
        <w:spacing w:after="0" w:line="276" w:lineRule="auto"/>
        <w:ind w:left="1800"/>
      </w:pPr>
    </w:p>
    <w:p w:rsidR="00697C23" w:rsidRDefault="00887E4E" w:rsidP="00602C97">
      <w:pPr>
        <w:tabs>
          <w:tab w:val="left" w:pos="20400"/>
        </w:tabs>
      </w:pPr>
      <w:r>
        <w:tab/>
      </w:r>
    </w:p>
    <w:p w:rsidR="00887E4E" w:rsidRPr="00F81568" w:rsidRDefault="00887E4E" w:rsidP="00602C97"/>
    <w:p w:rsidR="00887E4E" w:rsidRDefault="00887E4E" w:rsidP="00887E4E"/>
    <w:p w:rsidR="00F81568" w:rsidRPr="00F81568" w:rsidRDefault="00887E4E" w:rsidP="00602C97">
      <w:pPr>
        <w:tabs>
          <w:tab w:val="left" w:pos="1125"/>
        </w:tabs>
        <w:rPr>
          <w:b/>
          <w:bCs/>
          <w:smallCaps/>
        </w:rPr>
        <w:sectPr w:rsidR="00F81568" w:rsidRPr="00F81568" w:rsidSect="00602C97">
          <w:headerReference w:type="default" r:id="rId15"/>
          <w:pgSz w:w="16838" w:h="11906" w:orient="landscape" w:code="9"/>
          <w:pgMar w:top="1138" w:right="1138" w:bottom="1138" w:left="1138" w:header="504" w:footer="950" w:gutter="0"/>
          <w:cols w:space="720"/>
          <w:docGrid w:linePitch="326"/>
        </w:sectPr>
      </w:pPr>
      <w:r>
        <w:tab/>
      </w:r>
      <w:r>
        <w:tab/>
      </w:r>
    </w:p>
    <w:p w:rsidR="00A21ECD" w:rsidRPr="00A21ECD" w:rsidRDefault="00010ED3" w:rsidP="00ED6316">
      <w:pPr>
        <w:pStyle w:val="Heading1"/>
      </w:pPr>
      <w:bookmarkStart w:id="27" w:name="_Toc492292908"/>
      <w:r>
        <w:lastRenderedPageBreak/>
        <w:t>Annex 4</w:t>
      </w:r>
      <w:r w:rsidR="00A21ECD" w:rsidRPr="00A21ECD">
        <w:t>. References</w:t>
      </w:r>
      <w:bookmarkEnd w:id="27"/>
    </w:p>
    <w:p w:rsidR="00ED6316" w:rsidRDefault="00ED6316" w:rsidP="00ED6316">
      <w:pPr>
        <w:pStyle w:val="NoSpacing"/>
        <w:spacing w:line="259" w:lineRule="auto"/>
        <w:jc w:val="left"/>
        <w:rPr>
          <w:rFonts w:asciiTheme="minorHAnsi" w:hAnsiTheme="minorHAnsi"/>
          <w:sz w:val="24"/>
          <w:szCs w:val="24"/>
        </w:rPr>
      </w:pPr>
    </w:p>
    <w:p w:rsidR="00A21ECD" w:rsidRPr="003B004A" w:rsidRDefault="00A21ECD" w:rsidP="00ED6316">
      <w:pPr>
        <w:rPr>
          <w:sz w:val="24"/>
          <w:szCs w:val="24"/>
        </w:rPr>
      </w:pPr>
      <w:proofErr w:type="gramStart"/>
      <w:r w:rsidRPr="003B004A">
        <w:rPr>
          <w:sz w:val="24"/>
          <w:szCs w:val="24"/>
        </w:rPr>
        <w:t>World Health Organization.</w:t>
      </w:r>
      <w:proofErr w:type="gramEnd"/>
      <w:r w:rsidRPr="003B004A">
        <w:rPr>
          <w:sz w:val="24"/>
          <w:szCs w:val="24"/>
        </w:rPr>
        <w:t xml:space="preserve"> </w:t>
      </w:r>
      <w:proofErr w:type="gramStart"/>
      <w:r w:rsidRPr="003B004A">
        <w:rPr>
          <w:sz w:val="24"/>
          <w:szCs w:val="24"/>
        </w:rPr>
        <w:t>Resolution WHA68.3.</w:t>
      </w:r>
      <w:proofErr w:type="gramEnd"/>
      <w:r w:rsidRPr="003B004A">
        <w:rPr>
          <w:sz w:val="24"/>
          <w:szCs w:val="24"/>
        </w:rPr>
        <w:t xml:space="preserve"> </w:t>
      </w:r>
      <w:proofErr w:type="gramStart"/>
      <w:r w:rsidRPr="003B004A">
        <w:rPr>
          <w:sz w:val="24"/>
          <w:szCs w:val="24"/>
        </w:rPr>
        <w:t>Poliomyelitis.</w:t>
      </w:r>
      <w:proofErr w:type="gramEnd"/>
      <w:r w:rsidRPr="003B004A">
        <w:rPr>
          <w:sz w:val="24"/>
          <w:szCs w:val="24"/>
        </w:rPr>
        <w:t xml:space="preserve"> In: Sixty-eighth World Health Assembly, Geneva, 18–26 May 2015. Geneva: WHO; 2015 (http://apps.who.int/gb/ebwha/pdf_files/WHA68/A68_R3-en.pdf, accessed 24 May 2016).</w:t>
      </w:r>
    </w:p>
    <w:p w:rsidR="00A21ECD" w:rsidRPr="003B004A" w:rsidRDefault="00A21ECD" w:rsidP="00ED6316">
      <w:pPr>
        <w:rPr>
          <w:sz w:val="24"/>
          <w:szCs w:val="24"/>
        </w:rPr>
      </w:pPr>
      <w:proofErr w:type="gramStart"/>
      <w:r w:rsidRPr="003B004A">
        <w:rPr>
          <w:sz w:val="24"/>
          <w:szCs w:val="24"/>
        </w:rPr>
        <w:t>World Health Organization.</w:t>
      </w:r>
      <w:proofErr w:type="gramEnd"/>
      <w:r w:rsidRPr="003B004A">
        <w:rPr>
          <w:sz w:val="24"/>
          <w:szCs w:val="24"/>
        </w:rPr>
        <w:t xml:space="preserve"> Polio Eradication &amp; Endgame Strategic Plan 2013-2018. </w:t>
      </w:r>
      <w:proofErr w:type="spellStart"/>
      <w:r w:rsidRPr="003B004A">
        <w:rPr>
          <w:sz w:val="24"/>
          <w:szCs w:val="24"/>
        </w:rPr>
        <w:t>Geneva</w:t>
      </w:r>
      <w:proofErr w:type="gramStart"/>
      <w:r w:rsidRPr="003B004A">
        <w:rPr>
          <w:sz w:val="24"/>
          <w:szCs w:val="24"/>
        </w:rPr>
        <w:t>:WHO</w:t>
      </w:r>
      <w:proofErr w:type="spellEnd"/>
      <w:proofErr w:type="gramEnd"/>
      <w:r w:rsidRPr="003B004A">
        <w:rPr>
          <w:sz w:val="24"/>
          <w:szCs w:val="24"/>
        </w:rPr>
        <w:t>; 2013.</w:t>
      </w:r>
    </w:p>
    <w:p w:rsidR="00A21ECD" w:rsidRPr="003B004A" w:rsidRDefault="00A21ECD" w:rsidP="00ED6316">
      <w:pPr>
        <w:rPr>
          <w:sz w:val="24"/>
          <w:szCs w:val="24"/>
        </w:rPr>
      </w:pPr>
      <w:proofErr w:type="gramStart"/>
      <w:r w:rsidRPr="003B004A">
        <w:rPr>
          <w:sz w:val="24"/>
          <w:szCs w:val="24"/>
        </w:rPr>
        <w:t>World Health Organization.</w:t>
      </w:r>
      <w:proofErr w:type="gramEnd"/>
      <w:r w:rsidRPr="003B004A">
        <w:rPr>
          <w:sz w:val="24"/>
          <w:szCs w:val="24"/>
        </w:rPr>
        <w:t xml:space="preserve"> WHO Global Action Plan to minimize poliovirus facility-associated risk after type-specific eradication of wild polioviruses and sequential cessation of oral polio vaccine use (GAPIII), Third edition. Geneva: WHO; 2015. (http://www.polioeradication.org/Portals/0/Document/Resources</w:t>
      </w:r>
      <w:r w:rsidR="00ED6316">
        <w:rPr>
          <w:sz w:val="24"/>
          <w:szCs w:val="24"/>
        </w:rPr>
        <w:t>/PostEradication/GAPIII_2014.pdf</w:t>
      </w:r>
      <w:r w:rsidRPr="003B004A">
        <w:rPr>
          <w:sz w:val="24"/>
          <w:szCs w:val="24"/>
        </w:rPr>
        <w:t>)</w:t>
      </w:r>
    </w:p>
    <w:p w:rsidR="00A21ECD" w:rsidRPr="003B004A" w:rsidRDefault="00A21ECD" w:rsidP="00A21ECD">
      <w:pPr>
        <w:pStyle w:val="NoSpacing"/>
        <w:jc w:val="left"/>
        <w:rPr>
          <w:rFonts w:asciiTheme="minorHAnsi" w:hAnsiTheme="minorHAnsi"/>
          <w:b/>
          <w:sz w:val="24"/>
          <w:szCs w:val="24"/>
        </w:rPr>
      </w:pPr>
      <w:r w:rsidRPr="003B004A">
        <w:rPr>
          <w:rFonts w:asciiTheme="minorHAnsi" w:hAnsiTheme="minorHAnsi"/>
          <w:b/>
          <w:sz w:val="24"/>
          <w:szCs w:val="24"/>
        </w:rPr>
        <w:t>Isolation of Sabin viruses in IPV using countries</w:t>
      </w:r>
    </w:p>
    <w:p w:rsidR="00A21ECD" w:rsidRPr="003B004A" w:rsidRDefault="00A21ECD" w:rsidP="00ED6316">
      <w:pPr>
        <w:rPr>
          <w:sz w:val="24"/>
          <w:szCs w:val="24"/>
        </w:rPr>
      </w:pPr>
      <w:proofErr w:type="spellStart"/>
      <w:r w:rsidRPr="003B004A">
        <w:rPr>
          <w:sz w:val="24"/>
          <w:szCs w:val="24"/>
        </w:rPr>
        <w:t>Battistone</w:t>
      </w:r>
      <w:proofErr w:type="spellEnd"/>
      <w:r w:rsidRPr="003B004A">
        <w:rPr>
          <w:sz w:val="24"/>
          <w:szCs w:val="24"/>
        </w:rPr>
        <w:t xml:space="preserve"> A, </w:t>
      </w:r>
      <w:proofErr w:type="spellStart"/>
      <w:r w:rsidRPr="003B004A">
        <w:rPr>
          <w:sz w:val="24"/>
          <w:szCs w:val="24"/>
        </w:rPr>
        <w:t>Buttinelli</w:t>
      </w:r>
      <w:proofErr w:type="spellEnd"/>
      <w:r w:rsidRPr="003B004A">
        <w:rPr>
          <w:sz w:val="24"/>
          <w:szCs w:val="24"/>
        </w:rPr>
        <w:t xml:space="preserve"> G, Fiore S, Amato C, </w:t>
      </w:r>
      <w:proofErr w:type="spellStart"/>
      <w:r w:rsidRPr="003B004A">
        <w:rPr>
          <w:sz w:val="24"/>
          <w:szCs w:val="24"/>
        </w:rPr>
        <w:t>Bonomo</w:t>
      </w:r>
      <w:proofErr w:type="spellEnd"/>
      <w:r w:rsidRPr="003B004A">
        <w:rPr>
          <w:sz w:val="24"/>
          <w:szCs w:val="24"/>
        </w:rPr>
        <w:t xml:space="preserve"> P, Patti AM et al. Sporadic isolation of </w:t>
      </w:r>
      <w:proofErr w:type="spellStart"/>
      <w:r w:rsidRPr="003B004A">
        <w:rPr>
          <w:sz w:val="24"/>
          <w:szCs w:val="24"/>
        </w:rPr>
        <w:t>sabin</w:t>
      </w:r>
      <w:proofErr w:type="spellEnd"/>
      <w:r w:rsidRPr="003B004A">
        <w:rPr>
          <w:sz w:val="24"/>
          <w:szCs w:val="24"/>
        </w:rPr>
        <w:t xml:space="preserve">-like polioviruses and high-level detection of non-polio enteroviruses during sewage surveillance in seven Italian cities, after several years of inactivated poliovirus vaccination. </w:t>
      </w:r>
      <w:proofErr w:type="spellStart"/>
      <w:r w:rsidRPr="00ED6316">
        <w:rPr>
          <w:sz w:val="24"/>
          <w:szCs w:val="24"/>
        </w:rPr>
        <w:t>Appl</w:t>
      </w:r>
      <w:proofErr w:type="spellEnd"/>
      <w:r w:rsidRPr="00ED6316">
        <w:rPr>
          <w:sz w:val="24"/>
          <w:szCs w:val="24"/>
        </w:rPr>
        <w:t xml:space="preserve"> Environ </w:t>
      </w:r>
      <w:proofErr w:type="spellStart"/>
      <w:r w:rsidRPr="00ED6316">
        <w:rPr>
          <w:sz w:val="24"/>
          <w:szCs w:val="24"/>
        </w:rPr>
        <w:t>Microbiol</w:t>
      </w:r>
      <w:proofErr w:type="spellEnd"/>
      <w:r w:rsidRPr="003B004A">
        <w:rPr>
          <w:sz w:val="24"/>
          <w:szCs w:val="24"/>
        </w:rPr>
        <w:t>. 2014</w:t>
      </w:r>
      <w:proofErr w:type="gramStart"/>
      <w:r w:rsidRPr="003B004A">
        <w:rPr>
          <w:sz w:val="24"/>
          <w:szCs w:val="24"/>
        </w:rPr>
        <w:t>;80</w:t>
      </w:r>
      <w:proofErr w:type="gramEnd"/>
      <w:r w:rsidRPr="003B004A">
        <w:rPr>
          <w:sz w:val="24"/>
          <w:szCs w:val="24"/>
        </w:rPr>
        <w:t xml:space="preserve">(15):4491-501. doi:10.1128/AEM.00108-14. </w:t>
      </w:r>
    </w:p>
    <w:p w:rsidR="00A21ECD" w:rsidRPr="003B004A" w:rsidRDefault="00A21ECD" w:rsidP="00ED6316">
      <w:pPr>
        <w:rPr>
          <w:sz w:val="24"/>
          <w:szCs w:val="24"/>
        </w:rPr>
      </w:pPr>
      <w:proofErr w:type="spellStart"/>
      <w:r w:rsidRPr="003B004A">
        <w:rPr>
          <w:sz w:val="24"/>
          <w:szCs w:val="24"/>
        </w:rPr>
        <w:t>Zurbriggen</w:t>
      </w:r>
      <w:proofErr w:type="spellEnd"/>
      <w:r w:rsidRPr="003B004A">
        <w:rPr>
          <w:sz w:val="24"/>
          <w:szCs w:val="24"/>
        </w:rPr>
        <w:t xml:space="preserve"> S, Tobler K, Abril C, </w:t>
      </w:r>
      <w:proofErr w:type="spellStart"/>
      <w:r w:rsidRPr="003B004A">
        <w:rPr>
          <w:sz w:val="24"/>
          <w:szCs w:val="24"/>
        </w:rPr>
        <w:t>Diedrich</w:t>
      </w:r>
      <w:proofErr w:type="spellEnd"/>
      <w:r w:rsidRPr="003B004A">
        <w:rPr>
          <w:sz w:val="24"/>
          <w:szCs w:val="24"/>
        </w:rPr>
        <w:t xml:space="preserve"> S, Ackermann M, </w:t>
      </w:r>
      <w:proofErr w:type="spellStart"/>
      <w:r w:rsidRPr="003B004A">
        <w:rPr>
          <w:sz w:val="24"/>
          <w:szCs w:val="24"/>
        </w:rPr>
        <w:t>Pallansch</w:t>
      </w:r>
      <w:proofErr w:type="spellEnd"/>
      <w:r w:rsidRPr="003B004A">
        <w:rPr>
          <w:sz w:val="24"/>
          <w:szCs w:val="24"/>
        </w:rPr>
        <w:t xml:space="preserve"> MA et al.. Isolati</w:t>
      </w:r>
      <w:r w:rsidR="00393D6D">
        <w:rPr>
          <w:sz w:val="24"/>
          <w:szCs w:val="24"/>
        </w:rPr>
        <w:t>on of S</w:t>
      </w:r>
      <w:r w:rsidRPr="003B004A">
        <w:rPr>
          <w:sz w:val="24"/>
          <w:szCs w:val="24"/>
        </w:rPr>
        <w:t xml:space="preserve">abin-like polioviruses from wastewater in a country using inactivated polio vaccine. </w:t>
      </w:r>
      <w:proofErr w:type="spellStart"/>
      <w:r w:rsidRPr="00ED6316">
        <w:rPr>
          <w:sz w:val="24"/>
          <w:szCs w:val="24"/>
        </w:rPr>
        <w:t>Appl</w:t>
      </w:r>
      <w:proofErr w:type="spellEnd"/>
      <w:r w:rsidRPr="00ED6316">
        <w:rPr>
          <w:sz w:val="24"/>
          <w:szCs w:val="24"/>
        </w:rPr>
        <w:t xml:space="preserve"> Environ </w:t>
      </w:r>
      <w:proofErr w:type="spellStart"/>
      <w:r w:rsidRPr="00ED6316">
        <w:rPr>
          <w:sz w:val="24"/>
          <w:szCs w:val="24"/>
        </w:rPr>
        <w:t>Microbio</w:t>
      </w:r>
      <w:r w:rsidRPr="003B004A">
        <w:rPr>
          <w:sz w:val="24"/>
          <w:szCs w:val="24"/>
        </w:rPr>
        <w:t>l</w:t>
      </w:r>
      <w:proofErr w:type="spellEnd"/>
      <w:r w:rsidRPr="003B004A">
        <w:rPr>
          <w:sz w:val="24"/>
          <w:szCs w:val="24"/>
        </w:rPr>
        <w:t>. 2008</w:t>
      </w:r>
      <w:proofErr w:type="gramStart"/>
      <w:r w:rsidRPr="003B004A">
        <w:rPr>
          <w:sz w:val="24"/>
          <w:szCs w:val="24"/>
        </w:rPr>
        <w:t>;74</w:t>
      </w:r>
      <w:proofErr w:type="gramEnd"/>
      <w:r w:rsidRPr="003B004A">
        <w:rPr>
          <w:sz w:val="24"/>
          <w:szCs w:val="24"/>
        </w:rPr>
        <w:t xml:space="preserve">(18):5608-14. </w:t>
      </w:r>
      <w:proofErr w:type="spellStart"/>
      <w:proofErr w:type="gramStart"/>
      <w:r w:rsidRPr="003B004A">
        <w:rPr>
          <w:sz w:val="24"/>
          <w:szCs w:val="24"/>
        </w:rPr>
        <w:t>doi</w:t>
      </w:r>
      <w:proofErr w:type="spellEnd"/>
      <w:proofErr w:type="gramEnd"/>
      <w:r w:rsidRPr="003B004A">
        <w:rPr>
          <w:sz w:val="24"/>
          <w:szCs w:val="24"/>
        </w:rPr>
        <w:t>: 10.1128/AEM.02764-07.</w:t>
      </w:r>
    </w:p>
    <w:p w:rsidR="00A21ECD" w:rsidRPr="003B004A" w:rsidRDefault="00A21ECD" w:rsidP="00ED6316">
      <w:pPr>
        <w:rPr>
          <w:sz w:val="24"/>
          <w:szCs w:val="24"/>
        </w:rPr>
      </w:pPr>
      <w:r w:rsidRPr="003B004A">
        <w:rPr>
          <w:sz w:val="24"/>
          <w:szCs w:val="24"/>
        </w:rPr>
        <w:t xml:space="preserve">Kew O, Morris-Glasgow V, </w:t>
      </w:r>
      <w:proofErr w:type="spellStart"/>
      <w:r w:rsidRPr="003B004A">
        <w:rPr>
          <w:sz w:val="24"/>
          <w:szCs w:val="24"/>
        </w:rPr>
        <w:t>Landaverde</w:t>
      </w:r>
      <w:proofErr w:type="spellEnd"/>
      <w:r w:rsidRPr="003B004A">
        <w:rPr>
          <w:sz w:val="24"/>
          <w:szCs w:val="24"/>
        </w:rPr>
        <w:t xml:space="preserve"> M, Burns C, Shaw J, </w:t>
      </w:r>
      <w:proofErr w:type="spellStart"/>
      <w:r w:rsidRPr="003B004A">
        <w:rPr>
          <w:sz w:val="24"/>
          <w:szCs w:val="24"/>
        </w:rPr>
        <w:t>Garib</w:t>
      </w:r>
      <w:proofErr w:type="spellEnd"/>
      <w:r w:rsidRPr="003B004A">
        <w:rPr>
          <w:sz w:val="24"/>
          <w:szCs w:val="24"/>
        </w:rPr>
        <w:t xml:space="preserve"> Z et al. Outbreak of poliomyelitis in Hispaniola associated with circulating type 1 vaccine-derived poliovirus. </w:t>
      </w:r>
      <w:proofErr w:type="gramStart"/>
      <w:r w:rsidRPr="00ED6316">
        <w:rPr>
          <w:sz w:val="24"/>
          <w:szCs w:val="24"/>
        </w:rPr>
        <w:t>Science</w:t>
      </w:r>
      <w:r w:rsidRPr="003B004A">
        <w:rPr>
          <w:sz w:val="24"/>
          <w:szCs w:val="24"/>
        </w:rPr>
        <w:t>.</w:t>
      </w:r>
      <w:proofErr w:type="gramEnd"/>
      <w:r w:rsidRPr="003B004A">
        <w:rPr>
          <w:sz w:val="24"/>
          <w:szCs w:val="24"/>
        </w:rPr>
        <w:t xml:space="preserve"> 2002</w:t>
      </w:r>
      <w:proofErr w:type="gramStart"/>
      <w:r w:rsidRPr="003B004A">
        <w:rPr>
          <w:sz w:val="24"/>
          <w:szCs w:val="24"/>
        </w:rPr>
        <w:t>;296</w:t>
      </w:r>
      <w:proofErr w:type="gramEnd"/>
      <w:r w:rsidRPr="003B004A">
        <w:rPr>
          <w:sz w:val="24"/>
          <w:szCs w:val="24"/>
        </w:rPr>
        <w:t xml:space="preserve">(5566):356-9. </w:t>
      </w:r>
      <w:proofErr w:type="spellStart"/>
      <w:proofErr w:type="gramStart"/>
      <w:r w:rsidRPr="003B004A">
        <w:rPr>
          <w:sz w:val="24"/>
          <w:szCs w:val="24"/>
        </w:rPr>
        <w:t>doi</w:t>
      </w:r>
      <w:proofErr w:type="spellEnd"/>
      <w:proofErr w:type="gramEnd"/>
      <w:r w:rsidRPr="003B004A">
        <w:rPr>
          <w:sz w:val="24"/>
          <w:szCs w:val="24"/>
        </w:rPr>
        <w:t>: 10.1126/science.1068284.</w:t>
      </w:r>
    </w:p>
    <w:p w:rsidR="00A21ECD" w:rsidRPr="003B004A" w:rsidRDefault="00A21ECD" w:rsidP="00ED6316">
      <w:pPr>
        <w:rPr>
          <w:sz w:val="24"/>
          <w:szCs w:val="24"/>
        </w:rPr>
      </w:pPr>
      <w:r w:rsidRPr="003B004A">
        <w:rPr>
          <w:sz w:val="24"/>
          <w:szCs w:val="24"/>
        </w:rPr>
        <w:t xml:space="preserve">Shulman LM, Martin J, </w:t>
      </w:r>
      <w:proofErr w:type="spellStart"/>
      <w:r w:rsidRPr="003B004A">
        <w:rPr>
          <w:sz w:val="24"/>
          <w:szCs w:val="24"/>
        </w:rPr>
        <w:t>Sofer</w:t>
      </w:r>
      <w:proofErr w:type="spellEnd"/>
      <w:r w:rsidRPr="003B004A">
        <w:rPr>
          <w:sz w:val="24"/>
          <w:szCs w:val="24"/>
        </w:rPr>
        <w:t xml:space="preserve"> D, Burns CC, Manor Y et al. Genetic analysis and characterization of wild poliovirus type 1 during sustained transmission in a population with &gt;95% vaccine coverage, Israel 2013</w:t>
      </w:r>
      <w:r w:rsidRPr="00ED6316">
        <w:rPr>
          <w:sz w:val="24"/>
          <w:szCs w:val="24"/>
        </w:rPr>
        <w:t xml:space="preserve">. </w:t>
      </w:r>
      <w:proofErr w:type="spellStart"/>
      <w:r w:rsidRPr="00ED6316">
        <w:rPr>
          <w:sz w:val="24"/>
          <w:szCs w:val="24"/>
        </w:rPr>
        <w:t>Clin</w:t>
      </w:r>
      <w:proofErr w:type="spellEnd"/>
      <w:r w:rsidRPr="00ED6316">
        <w:rPr>
          <w:sz w:val="24"/>
          <w:szCs w:val="24"/>
        </w:rPr>
        <w:t xml:space="preserve"> Infect Dis</w:t>
      </w:r>
      <w:r w:rsidRPr="003B004A">
        <w:rPr>
          <w:sz w:val="24"/>
          <w:szCs w:val="24"/>
        </w:rPr>
        <w:t>. 2015</w:t>
      </w:r>
      <w:proofErr w:type="gramStart"/>
      <w:r w:rsidRPr="003B004A">
        <w:rPr>
          <w:sz w:val="24"/>
          <w:szCs w:val="24"/>
        </w:rPr>
        <w:t>;60</w:t>
      </w:r>
      <w:proofErr w:type="gramEnd"/>
      <w:r w:rsidRPr="003B004A">
        <w:rPr>
          <w:sz w:val="24"/>
          <w:szCs w:val="24"/>
        </w:rPr>
        <w:t xml:space="preserve">(7):1057-64. </w:t>
      </w:r>
      <w:proofErr w:type="spellStart"/>
      <w:proofErr w:type="gramStart"/>
      <w:r w:rsidRPr="003B004A">
        <w:rPr>
          <w:sz w:val="24"/>
          <w:szCs w:val="24"/>
        </w:rPr>
        <w:t>doi</w:t>
      </w:r>
      <w:proofErr w:type="spellEnd"/>
      <w:proofErr w:type="gramEnd"/>
      <w:r w:rsidRPr="003B004A">
        <w:rPr>
          <w:sz w:val="24"/>
          <w:szCs w:val="24"/>
        </w:rPr>
        <w:t>: 10.1093/</w:t>
      </w:r>
      <w:proofErr w:type="spellStart"/>
      <w:r w:rsidRPr="003B004A">
        <w:rPr>
          <w:sz w:val="24"/>
          <w:szCs w:val="24"/>
        </w:rPr>
        <w:t>cid</w:t>
      </w:r>
      <w:proofErr w:type="spellEnd"/>
      <w:r w:rsidRPr="003B004A">
        <w:rPr>
          <w:sz w:val="24"/>
          <w:szCs w:val="24"/>
        </w:rPr>
        <w:t xml:space="preserve">/ciu1136. </w:t>
      </w:r>
    </w:p>
    <w:p w:rsidR="00A21ECD" w:rsidRPr="003B004A" w:rsidRDefault="00A21ECD" w:rsidP="00A21ECD">
      <w:pPr>
        <w:pStyle w:val="NoSpacing"/>
        <w:jc w:val="left"/>
        <w:rPr>
          <w:rFonts w:asciiTheme="minorHAnsi" w:hAnsiTheme="minorHAnsi"/>
          <w:b/>
          <w:sz w:val="24"/>
          <w:szCs w:val="24"/>
        </w:rPr>
      </w:pPr>
      <w:r w:rsidRPr="003B004A">
        <w:rPr>
          <w:rFonts w:asciiTheme="minorHAnsi" w:hAnsiTheme="minorHAnsi"/>
          <w:b/>
          <w:sz w:val="24"/>
          <w:szCs w:val="24"/>
        </w:rPr>
        <w:t>Use of transgenic mice</w:t>
      </w:r>
    </w:p>
    <w:p w:rsidR="00A21ECD" w:rsidRPr="003B004A" w:rsidRDefault="00A21ECD" w:rsidP="00ED6316">
      <w:pPr>
        <w:rPr>
          <w:sz w:val="24"/>
          <w:szCs w:val="24"/>
        </w:rPr>
      </w:pPr>
      <w:r w:rsidRPr="003B004A">
        <w:rPr>
          <w:sz w:val="24"/>
          <w:szCs w:val="24"/>
        </w:rPr>
        <w:t xml:space="preserve">Maintenance and distribution of transgenic mice susceptible to human viruses: memorandum from a WHO meeting. </w:t>
      </w:r>
      <w:r w:rsidRPr="00ED6316">
        <w:rPr>
          <w:sz w:val="24"/>
          <w:szCs w:val="24"/>
        </w:rPr>
        <w:t>Bull World Health Organ</w:t>
      </w:r>
      <w:r w:rsidRPr="003B004A">
        <w:rPr>
          <w:sz w:val="24"/>
          <w:szCs w:val="24"/>
        </w:rPr>
        <w:t>. 1993</w:t>
      </w:r>
      <w:proofErr w:type="gramStart"/>
      <w:r w:rsidRPr="003B004A">
        <w:rPr>
          <w:sz w:val="24"/>
          <w:szCs w:val="24"/>
        </w:rPr>
        <w:t>;71</w:t>
      </w:r>
      <w:proofErr w:type="gramEnd"/>
      <w:r w:rsidRPr="003B004A">
        <w:rPr>
          <w:sz w:val="24"/>
          <w:szCs w:val="24"/>
        </w:rPr>
        <w:t>(5):497-502.</w:t>
      </w:r>
    </w:p>
    <w:p w:rsidR="00A21ECD" w:rsidRPr="003B004A" w:rsidRDefault="00A21ECD" w:rsidP="00A21ECD">
      <w:pPr>
        <w:pStyle w:val="NoSpacing"/>
        <w:jc w:val="left"/>
        <w:rPr>
          <w:rFonts w:asciiTheme="minorHAnsi" w:hAnsiTheme="minorHAnsi"/>
          <w:b/>
          <w:sz w:val="24"/>
          <w:szCs w:val="24"/>
        </w:rPr>
      </w:pPr>
      <w:r w:rsidRPr="003B004A">
        <w:rPr>
          <w:rFonts w:asciiTheme="minorHAnsi" w:hAnsiTheme="minorHAnsi"/>
          <w:b/>
          <w:sz w:val="24"/>
          <w:szCs w:val="24"/>
        </w:rPr>
        <w:t>Detection of Polioviruses in waste water, healthy carriers and stored specimens</w:t>
      </w:r>
    </w:p>
    <w:p w:rsidR="00A21ECD" w:rsidRPr="003B004A" w:rsidRDefault="00A21ECD" w:rsidP="00ED6316">
      <w:pPr>
        <w:rPr>
          <w:sz w:val="24"/>
          <w:szCs w:val="24"/>
        </w:rPr>
      </w:pPr>
      <w:proofErr w:type="spellStart"/>
      <w:r w:rsidRPr="00ED6316">
        <w:rPr>
          <w:sz w:val="24"/>
          <w:szCs w:val="24"/>
        </w:rPr>
        <w:t>Tambini</w:t>
      </w:r>
      <w:proofErr w:type="spellEnd"/>
      <w:r w:rsidRPr="00ED6316">
        <w:rPr>
          <w:sz w:val="24"/>
          <w:szCs w:val="24"/>
        </w:rPr>
        <w:t xml:space="preserve"> G, Andrus JK, Marques E, </w:t>
      </w:r>
      <w:proofErr w:type="spellStart"/>
      <w:r w:rsidRPr="00ED6316">
        <w:rPr>
          <w:sz w:val="24"/>
          <w:szCs w:val="24"/>
        </w:rPr>
        <w:t>Boshell</w:t>
      </w:r>
      <w:proofErr w:type="spellEnd"/>
      <w:r w:rsidRPr="00ED6316">
        <w:rPr>
          <w:sz w:val="24"/>
          <w:szCs w:val="24"/>
        </w:rPr>
        <w:t xml:space="preserve"> J, </w:t>
      </w:r>
      <w:proofErr w:type="spellStart"/>
      <w:r w:rsidRPr="00ED6316">
        <w:rPr>
          <w:sz w:val="24"/>
          <w:szCs w:val="24"/>
        </w:rPr>
        <w:t>Pallansch</w:t>
      </w:r>
      <w:proofErr w:type="spellEnd"/>
      <w:r w:rsidRPr="00ED6316">
        <w:rPr>
          <w:sz w:val="24"/>
          <w:szCs w:val="24"/>
        </w:rPr>
        <w:t xml:space="preserve"> M, de </w:t>
      </w:r>
      <w:proofErr w:type="spellStart"/>
      <w:r w:rsidRPr="00ED6316">
        <w:rPr>
          <w:sz w:val="24"/>
          <w:szCs w:val="24"/>
        </w:rPr>
        <w:t>Quadros</w:t>
      </w:r>
      <w:proofErr w:type="spellEnd"/>
      <w:r w:rsidRPr="00ED6316">
        <w:rPr>
          <w:sz w:val="24"/>
          <w:szCs w:val="24"/>
        </w:rPr>
        <w:t xml:space="preserve"> CA et al. </w:t>
      </w:r>
      <w:r w:rsidRPr="003B004A">
        <w:rPr>
          <w:sz w:val="24"/>
          <w:szCs w:val="24"/>
        </w:rPr>
        <w:t xml:space="preserve">Direct detection of wild poliovirus circulation by stool surveys of healthy children and analysis of community wastewater. </w:t>
      </w:r>
      <w:r w:rsidRPr="00ED6316">
        <w:rPr>
          <w:sz w:val="24"/>
          <w:szCs w:val="24"/>
        </w:rPr>
        <w:t>J Infect Dis</w:t>
      </w:r>
      <w:r w:rsidRPr="003B004A">
        <w:rPr>
          <w:sz w:val="24"/>
          <w:szCs w:val="24"/>
        </w:rPr>
        <w:t>. 1993</w:t>
      </w:r>
      <w:proofErr w:type="gramStart"/>
      <w:r w:rsidRPr="003B004A">
        <w:rPr>
          <w:sz w:val="24"/>
          <w:szCs w:val="24"/>
        </w:rPr>
        <w:t>;168</w:t>
      </w:r>
      <w:proofErr w:type="gramEnd"/>
      <w:r w:rsidRPr="003B004A">
        <w:rPr>
          <w:sz w:val="24"/>
          <w:szCs w:val="24"/>
        </w:rPr>
        <w:t xml:space="preserve">(6):1510-4. </w:t>
      </w:r>
      <w:proofErr w:type="spellStart"/>
      <w:proofErr w:type="gramStart"/>
      <w:r w:rsidRPr="003B004A">
        <w:rPr>
          <w:sz w:val="24"/>
          <w:szCs w:val="24"/>
        </w:rPr>
        <w:t>doi</w:t>
      </w:r>
      <w:proofErr w:type="spellEnd"/>
      <w:proofErr w:type="gramEnd"/>
      <w:r w:rsidRPr="003B004A">
        <w:rPr>
          <w:sz w:val="24"/>
          <w:szCs w:val="24"/>
        </w:rPr>
        <w:t>: 10.1093/</w:t>
      </w:r>
      <w:proofErr w:type="spellStart"/>
      <w:r w:rsidRPr="003B004A">
        <w:rPr>
          <w:sz w:val="24"/>
          <w:szCs w:val="24"/>
        </w:rPr>
        <w:t>infdis</w:t>
      </w:r>
      <w:proofErr w:type="spellEnd"/>
      <w:r w:rsidRPr="003B004A">
        <w:rPr>
          <w:sz w:val="24"/>
          <w:szCs w:val="24"/>
        </w:rPr>
        <w:t xml:space="preserve">/168.6.1510. </w:t>
      </w:r>
    </w:p>
    <w:p w:rsidR="00A21ECD" w:rsidRPr="003B004A" w:rsidRDefault="00A21ECD" w:rsidP="00ED6316">
      <w:pPr>
        <w:rPr>
          <w:sz w:val="24"/>
          <w:szCs w:val="24"/>
        </w:rPr>
      </w:pPr>
      <w:proofErr w:type="spellStart"/>
      <w:r w:rsidRPr="003B004A">
        <w:rPr>
          <w:sz w:val="24"/>
          <w:szCs w:val="24"/>
        </w:rPr>
        <w:t>Pallansch</w:t>
      </w:r>
      <w:proofErr w:type="spellEnd"/>
      <w:r w:rsidRPr="003B004A">
        <w:rPr>
          <w:sz w:val="24"/>
          <w:szCs w:val="24"/>
        </w:rPr>
        <w:t xml:space="preserve"> M, Staples M. Wild poliovirus found in stored potential infectious materials. </w:t>
      </w:r>
      <w:proofErr w:type="gramStart"/>
      <w:r w:rsidRPr="003B004A">
        <w:rPr>
          <w:sz w:val="24"/>
          <w:szCs w:val="24"/>
        </w:rPr>
        <w:t>World Health Organization Polio Laboratory Network Quarterly Update.</w:t>
      </w:r>
      <w:proofErr w:type="gramEnd"/>
      <w:r w:rsidRPr="003B004A">
        <w:rPr>
          <w:sz w:val="24"/>
          <w:szCs w:val="24"/>
        </w:rPr>
        <w:t xml:space="preserve"> 2002</w:t>
      </w:r>
      <w:proofErr w:type="gramStart"/>
      <w:r w:rsidRPr="003B004A">
        <w:rPr>
          <w:sz w:val="24"/>
          <w:szCs w:val="24"/>
        </w:rPr>
        <w:t>;8:1</w:t>
      </w:r>
      <w:proofErr w:type="gramEnd"/>
      <w:r w:rsidRPr="003B004A">
        <w:rPr>
          <w:sz w:val="24"/>
          <w:szCs w:val="24"/>
        </w:rPr>
        <w:t>-2.</w:t>
      </w:r>
    </w:p>
    <w:p w:rsidR="00A21ECD" w:rsidRDefault="00A21ECD" w:rsidP="00ED6316">
      <w:pPr>
        <w:rPr>
          <w:sz w:val="24"/>
          <w:szCs w:val="24"/>
        </w:rPr>
      </w:pPr>
      <w:proofErr w:type="spellStart"/>
      <w:r w:rsidRPr="003B004A">
        <w:rPr>
          <w:sz w:val="24"/>
          <w:szCs w:val="24"/>
        </w:rPr>
        <w:lastRenderedPageBreak/>
        <w:t>Savolainen</w:t>
      </w:r>
      <w:proofErr w:type="spellEnd"/>
      <w:r w:rsidRPr="003B004A">
        <w:rPr>
          <w:sz w:val="24"/>
          <w:szCs w:val="24"/>
        </w:rPr>
        <w:t xml:space="preserve"> C, </w:t>
      </w:r>
      <w:proofErr w:type="spellStart"/>
      <w:r w:rsidRPr="003B004A">
        <w:rPr>
          <w:sz w:val="24"/>
          <w:szCs w:val="24"/>
        </w:rPr>
        <w:t>Hovi</w:t>
      </w:r>
      <w:proofErr w:type="spellEnd"/>
      <w:r w:rsidRPr="003B004A">
        <w:rPr>
          <w:sz w:val="24"/>
          <w:szCs w:val="24"/>
        </w:rPr>
        <w:t xml:space="preserve"> T. Caveat: poliovirus may be hiding under other labels. </w:t>
      </w:r>
      <w:proofErr w:type="gramStart"/>
      <w:r w:rsidRPr="00ED6316">
        <w:rPr>
          <w:sz w:val="24"/>
          <w:szCs w:val="24"/>
        </w:rPr>
        <w:t>Lancet</w:t>
      </w:r>
      <w:r w:rsidRPr="003B004A">
        <w:rPr>
          <w:sz w:val="24"/>
          <w:szCs w:val="24"/>
        </w:rPr>
        <w:t>.</w:t>
      </w:r>
      <w:proofErr w:type="gramEnd"/>
      <w:r w:rsidRPr="003B004A">
        <w:rPr>
          <w:sz w:val="24"/>
          <w:szCs w:val="24"/>
        </w:rPr>
        <w:t xml:space="preserve"> 2003</w:t>
      </w:r>
      <w:proofErr w:type="gramStart"/>
      <w:r w:rsidRPr="003B004A">
        <w:rPr>
          <w:sz w:val="24"/>
          <w:szCs w:val="24"/>
        </w:rPr>
        <w:t>;5</w:t>
      </w:r>
      <w:proofErr w:type="gramEnd"/>
      <w:r w:rsidRPr="003B004A">
        <w:rPr>
          <w:sz w:val="24"/>
          <w:szCs w:val="24"/>
        </w:rPr>
        <w:t xml:space="preserve">;361(9364):1145-6. </w:t>
      </w:r>
      <w:proofErr w:type="gramStart"/>
      <w:r w:rsidRPr="003B004A">
        <w:rPr>
          <w:sz w:val="24"/>
          <w:szCs w:val="24"/>
        </w:rPr>
        <w:t>doi:</w:t>
      </w:r>
      <w:proofErr w:type="gramEnd"/>
      <w:r w:rsidRPr="003B004A">
        <w:rPr>
          <w:sz w:val="24"/>
          <w:szCs w:val="24"/>
        </w:rPr>
        <w:t>10.1016/S0140-6736(03)12965-0.</w:t>
      </w:r>
    </w:p>
    <w:p w:rsidR="00F36E9C" w:rsidRPr="003B004A" w:rsidRDefault="00F36E9C" w:rsidP="00ED6316">
      <w:pPr>
        <w:rPr>
          <w:sz w:val="24"/>
          <w:szCs w:val="24"/>
        </w:rPr>
      </w:pPr>
      <w:r>
        <w:rPr>
          <w:sz w:val="24"/>
          <w:szCs w:val="24"/>
        </w:rPr>
        <w:t xml:space="preserve">Mach O, </w:t>
      </w:r>
      <w:proofErr w:type="spellStart"/>
      <w:r>
        <w:rPr>
          <w:sz w:val="24"/>
          <w:szCs w:val="24"/>
        </w:rPr>
        <w:t>Verma</w:t>
      </w:r>
      <w:proofErr w:type="spellEnd"/>
      <w:r>
        <w:rPr>
          <w:sz w:val="24"/>
          <w:szCs w:val="24"/>
        </w:rPr>
        <w:t xml:space="preserve"> H, </w:t>
      </w:r>
      <w:proofErr w:type="spellStart"/>
      <w:r>
        <w:rPr>
          <w:sz w:val="24"/>
          <w:szCs w:val="24"/>
        </w:rPr>
        <w:t>Khandait</w:t>
      </w:r>
      <w:proofErr w:type="spellEnd"/>
      <w:r>
        <w:rPr>
          <w:sz w:val="24"/>
          <w:szCs w:val="24"/>
        </w:rPr>
        <w:t xml:space="preserve"> DW, Sutter RW</w:t>
      </w:r>
      <w:r w:rsidR="00404BCB">
        <w:rPr>
          <w:sz w:val="24"/>
          <w:szCs w:val="24"/>
        </w:rPr>
        <w:t xml:space="preserve">, O'Connor PM, </w:t>
      </w:r>
      <w:proofErr w:type="spellStart"/>
      <w:r w:rsidR="00404BCB">
        <w:rPr>
          <w:sz w:val="24"/>
          <w:szCs w:val="24"/>
        </w:rPr>
        <w:t>Pallansch</w:t>
      </w:r>
      <w:proofErr w:type="spellEnd"/>
      <w:r w:rsidR="00404BCB">
        <w:rPr>
          <w:sz w:val="24"/>
          <w:szCs w:val="24"/>
        </w:rPr>
        <w:t xml:space="preserve"> MA et al</w:t>
      </w:r>
      <w:r w:rsidRPr="00F36E9C">
        <w:rPr>
          <w:sz w:val="24"/>
          <w:szCs w:val="24"/>
        </w:rPr>
        <w:t>.</w:t>
      </w:r>
      <w:r>
        <w:rPr>
          <w:sz w:val="24"/>
          <w:szCs w:val="24"/>
        </w:rPr>
        <w:t xml:space="preserve"> </w:t>
      </w:r>
      <w:r w:rsidRPr="00F36E9C">
        <w:rPr>
          <w:sz w:val="24"/>
          <w:szCs w:val="24"/>
        </w:rPr>
        <w:t>Prevalence of asymptomatic poliovirus infection in older children and adults in northern India: analysis of contact and enhanced community surveillance, 2009.</w:t>
      </w:r>
      <w:r>
        <w:rPr>
          <w:sz w:val="24"/>
          <w:szCs w:val="24"/>
        </w:rPr>
        <w:t xml:space="preserve"> </w:t>
      </w:r>
      <w:r w:rsidRPr="00F36E9C">
        <w:rPr>
          <w:sz w:val="24"/>
          <w:szCs w:val="24"/>
        </w:rPr>
        <w:t>J Infect Dis. 2014 Nov 1</w:t>
      </w:r>
      <w:proofErr w:type="gramStart"/>
      <w:r w:rsidRPr="00F36E9C">
        <w:rPr>
          <w:sz w:val="24"/>
          <w:szCs w:val="24"/>
        </w:rPr>
        <w:t>;210</w:t>
      </w:r>
      <w:proofErr w:type="gramEnd"/>
      <w:r w:rsidRPr="00F36E9C">
        <w:rPr>
          <w:sz w:val="24"/>
          <w:szCs w:val="24"/>
        </w:rPr>
        <w:t xml:space="preserve"> </w:t>
      </w:r>
      <w:proofErr w:type="spellStart"/>
      <w:r w:rsidRPr="00F36E9C">
        <w:rPr>
          <w:sz w:val="24"/>
          <w:szCs w:val="24"/>
        </w:rPr>
        <w:t>Suppl</w:t>
      </w:r>
      <w:proofErr w:type="spellEnd"/>
      <w:r w:rsidRPr="00F36E9C">
        <w:rPr>
          <w:sz w:val="24"/>
          <w:szCs w:val="24"/>
        </w:rPr>
        <w:t xml:space="preserve"> 1:S252-8. </w:t>
      </w:r>
      <w:proofErr w:type="spellStart"/>
      <w:proofErr w:type="gramStart"/>
      <w:r w:rsidRPr="00F36E9C">
        <w:rPr>
          <w:sz w:val="24"/>
          <w:szCs w:val="24"/>
        </w:rPr>
        <w:t>doi</w:t>
      </w:r>
      <w:proofErr w:type="spellEnd"/>
      <w:proofErr w:type="gramEnd"/>
      <w:r w:rsidRPr="00F36E9C">
        <w:rPr>
          <w:sz w:val="24"/>
          <w:szCs w:val="24"/>
        </w:rPr>
        <w:t>: 10.1093/</w:t>
      </w:r>
      <w:proofErr w:type="spellStart"/>
      <w:r w:rsidRPr="00F36E9C">
        <w:rPr>
          <w:sz w:val="24"/>
          <w:szCs w:val="24"/>
        </w:rPr>
        <w:t>infdis</w:t>
      </w:r>
      <w:proofErr w:type="spellEnd"/>
      <w:r w:rsidRPr="00F36E9C">
        <w:rPr>
          <w:sz w:val="24"/>
          <w:szCs w:val="24"/>
        </w:rPr>
        <w:t>/jit234.</w:t>
      </w:r>
    </w:p>
    <w:p w:rsidR="00A21ECD" w:rsidRPr="003B004A" w:rsidRDefault="00A21ECD" w:rsidP="00A21ECD">
      <w:pPr>
        <w:pStyle w:val="NoSpacing"/>
        <w:jc w:val="left"/>
        <w:rPr>
          <w:rFonts w:asciiTheme="minorHAnsi" w:hAnsiTheme="minorHAnsi"/>
          <w:b/>
          <w:bCs/>
          <w:sz w:val="24"/>
          <w:szCs w:val="24"/>
        </w:rPr>
      </w:pPr>
      <w:r w:rsidRPr="003B004A">
        <w:rPr>
          <w:rFonts w:asciiTheme="minorHAnsi" w:hAnsiTheme="minorHAnsi"/>
          <w:b/>
          <w:bCs/>
          <w:sz w:val="24"/>
          <w:szCs w:val="24"/>
        </w:rPr>
        <w:t>Detection of Polioviruses in CSF, respiratory secretion and other biological specimens</w:t>
      </w:r>
    </w:p>
    <w:p w:rsidR="00A21ECD" w:rsidRPr="003B004A" w:rsidRDefault="00A21ECD" w:rsidP="00ED6316">
      <w:pPr>
        <w:rPr>
          <w:sz w:val="24"/>
          <w:szCs w:val="24"/>
        </w:rPr>
      </w:pPr>
      <w:proofErr w:type="gramStart"/>
      <w:r w:rsidRPr="003B004A">
        <w:rPr>
          <w:sz w:val="24"/>
          <w:szCs w:val="24"/>
        </w:rPr>
        <w:t xml:space="preserve">Davies M, Bruce C, </w:t>
      </w:r>
      <w:proofErr w:type="spellStart"/>
      <w:r w:rsidRPr="003B004A">
        <w:rPr>
          <w:sz w:val="24"/>
          <w:szCs w:val="24"/>
        </w:rPr>
        <w:t>Bewley</w:t>
      </w:r>
      <w:proofErr w:type="spellEnd"/>
      <w:r w:rsidRPr="003B004A">
        <w:rPr>
          <w:sz w:val="24"/>
          <w:szCs w:val="24"/>
        </w:rPr>
        <w:t xml:space="preserve"> K, Outlaw M, </w:t>
      </w:r>
      <w:proofErr w:type="spellStart"/>
      <w:r w:rsidRPr="003B004A">
        <w:rPr>
          <w:sz w:val="24"/>
          <w:szCs w:val="24"/>
        </w:rPr>
        <w:t>Mioulet</w:t>
      </w:r>
      <w:proofErr w:type="spellEnd"/>
      <w:r w:rsidRPr="003B004A">
        <w:rPr>
          <w:sz w:val="24"/>
          <w:szCs w:val="24"/>
        </w:rPr>
        <w:t xml:space="preserve"> V, Lloyd G et al. Poliovirus type 1 in working stocks of typed human rhinoviruses.</w:t>
      </w:r>
      <w:proofErr w:type="gramEnd"/>
      <w:r w:rsidRPr="003B004A">
        <w:rPr>
          <w:sz w:val="24"/>
          <w:szCs w:val="24"/>
        </w:rPr>
        <w:t xml:space="preserve"> </w:t>
      </w:r>
      <w:proofErr w:type="gramStart"/>
      <w:r w:rsidRPr="00ED6316">
        <w:rPr>
          <w:sz w:val="24"/>
          <w:szCs w:val="24"/>
        </w:rPr>
        <w:t>Lancet</w:t>
      </w:r>
      <w:r w:rsidRPr="003B004A">
        <w:rPr>
          <w:sz w:val="24"/>
          <w:szCs w:val="24"/>
        </w:rPr>
        <w:t>.</w:t>
      </w:r>
      <w:proofErr w:type="gramEnd"/>
      <w:r w:rsidRPr="003B004A">
        <w:rPr>
          <w:sz w:val="24"/>
          <w:szCs w:val="24"/>
        </w:rPr>
        <w:t xml:space="preserve"> 2003</w:t>
      </w:r>
      <w:proofErr w:type="gramStart"/>
      <w:r w:rsidRPr="003B004A">
        <w:rPr>
          <w:sz w:val="24"/>
          <w:szCs w:val="24"/>
        </w:rPr>
        <w:t>;5</w:t>
      </w:r>
      <w:proofErr w:type="gramEnd"/>
      <w:r w:rsidRPr="003B004A">
        <w:rPr>
          <w:sz w:val="24"/>
          <w:szCs w:val="24"/>
        </w:rPr>
        <w:t xml:space="preserve">;361(9364):1187-8. </w:t>
      </w:r>
      <w:proofErr w:type="gramStart"/>
      <w:r w:rsidRPr="003B004A">
        <w:rPr>
          <w:sz w:val="24"/>
          <w:szCs w:val="24"/>
        </w:rPr>
        <w:t>doi:</w:t>
      </w:r>
      <w:proofErr w:type="gramEnd"/>
      <w:r w:rsidRPr="003B004A">
        <w:rPr>
          <w:sz w:val="24"/>
          <w:szCs w:val="24"/>
        </w:rPr>
        <w:t xml:space="preserve">10.1016/S0140-6736(03)12919-4. </w:t>
      </w:r>
    </w:p>
    <w:p w:rsidR="00A21ECD" w:rsidRPr="003B004A" w:rsidRDefault="00A21ECD" w:rsidP="00ED6316">
      <w:pPr>
        <w:rPr>
          <w:sz w:val="24"/>
          <w:szCs w:val="24"/>
        </w:rPr>
      </w:pPr>
      <w:r w:rsidRPr="003B004A">
        <w:rPr>
          <w:sz w:val="24"/>
          <w:szCs w:val="24"/>
        </w:rPr>
        <w:t xml:space="preserve">Routine tests of CSF for poliovirus surveillance give low yield. </w:t>
      </w:r>
      <w:proofErr w:type="gramStart"/>
      <w:r w:rsidRPr="003B004A">
        <w:rPr>
          <w:sz w:val="24"/>
          <w:szCs w:val="24"/>
        </w:rPr>
        <w:t>World Health Organization Polio Laboratory Network Quarterly Update.</w:t>
      </w:r>
      <w:proofErr w:type="gramEnd"/>
      <w:r w:rsidRPr="003B004A">
        <w:rPr>
          <w:sz w:val="24"/>
          <w:szCs w:val="24"/>
        </w:rPr>
        <w:t xml:space="preserve"> 1998</w:t>
      </w:r>
      <w:proofErr w:type="gramStart"/>
      <w:r w:rsidRPr="003B004A">
        <w:rPr>
          <w:sz w:val="24"/>
          <w:szCs w:val="24"/>
        </w:rPr>
        <w:t>;4</w:t>
      </w:r>
      <w:proofErr w:type="gramEnd"/>
      <w:r w:rsidRPr="003B004A">
        <w:rPr>
          <w:sz w:val="24"/>
          <w:szCs w:val="24"/>
        </w:rPr>
        <w:t>(3):1-2.</w:t>
      </w:r>
    </w:p>
    <w:p w:rsidR="00A21ECD" w:rsidRPr="003B004A" w:rsidRDefault="00A21ECD" w:rsidP="00ED6316">
      <w:pPr>
        <w:rPr>
          <w:sz w:val="24"/>
          <w:szCs w:val="24"/>
        </w:rPr>
      </w:pPr>
      <w:proofErr w:type="spellStart"/>
      <w:r w:rsidRPr="003B004A">
        <w:rPr>
          <w:sz w:val="24"/>
          <w:szCs w:val="24"/>
        </w:rPr>
        <w:t>Leparc-Goffart</w:t>
      </w:r>
      <w:proofErr w:type="spellEnd"/>
      <w:r w:rsidRPr="003B004A">
        <w:rPr>
          <w:sz w:val="24"/>
          <w:szCs w:val="24"/>
        </w:rPr>
        <w:t xml:space="preserve"> I, Julien J, Fuchs F, </w:t>
      </w:r>
      <w:proofErr w:type="spellStart"/>
      <w:r w:rsidRPr="003B004A">
        <w:rPr>
          <w:sz w:val="24"/>
          <w:szCs w:val="24"/>
        </w:rPr>
        <w:t>Janatova</w:t>
      </w:r>
      <w:proofErr w:type="spellEnd"/>
      <w:r w:rsidRPr="003B004A">
        <w:rPr>
          <w:sz w:val="24"/>
          <w:szCs w:val="24"/>
        </w:rPr>
        <w:t xml:space="preserve"> I, </w:t>
      </w:r>
      <w:proofErr w:type="spellStart"/>
      <w:r w:rsidRPr="003B004A">
        <w:rPr>
          <w:sz w:val="24"/>
          <w:szCs w:val="24"/>
        </w:rPr>
        <w:t>Aymard</w:t>
      </w:r>
      <w:proofErr w:type="spellEnd"/>
      <w:r w:rsidRPr="003B004A">
        <w:rPr>
          <w:sz w:val="24"/>
          <w:szCs w:val="24"/>
        </w:rPr>
        <w:t xml:space="preserve"> M, </w:t>
      </w:r>
      <w:proofErr w:type="spellStart"/>
      <w:r w:rsidRPr="003B004A">
        <w:rPr>
          <w:sz w:val="24"/>
          <w:szCs w:val="24"/>
        </w:rPr>
        <w:t>Kopecka</w:t>
      </w:r>
      <w:proofErr w:type="spellEnd"/>
      <w:r w:rsidRPr="003B004A">
        <w:rPr>
          <w:sz w:val="24"/>
          <w:szCs w:val="24"/>
        </w:rPr>
        <w:t xml:space="preserve"> H. Evidence of presence of poliovirus genomic sequences in cerebrospinal fluid from patients with </w:t>
      </w:r>
      <w:proofErr w:type="spellStart"/>
      <w:r w:rsidRPr="003B004A">
        <w:rPr>
          <w:sz w:val="24"/>
          <w:szCs w:val="24"/>
        </w:rPr>
        <w:t>postpolio</w:t>
      </w:r>
      <w:proofErr w:type="spellEnd"/>
      <w:r w:rsidRPr="003B004A">
        <w:rPr>
          <w:sz w:val="24"/>
          <w:szCs w:val="24"/>
        </w:rPr>
        <w:t xml:space="preserve"> syndrome</w:t>
      </w:r>
      <w:r w:rsidRPr="00ED6316">
        <w:rPr>
          <w:sz w:val="24"/>
          <w:szCs w:val="24"/>
        </w:rPr>
        <w:t xml:space="preserve">. </w:t>
      </w:r>
      <w:proofErr w:type="gramStart"/>
      <w:r w:rsidRPr="00ED6316">
        <w:rPr>
          <w:sz w:val="24"/>
          <w:szCs w:val="24"/>
        </w:rPr>
        <w:t xml:space="preserve">J </w:t>
      </w:r>
      <w:proofErr w:type="spellStart"/>
      <w:r w:rsidRPr="00ED6316">
        <w:rPr>
          <w:sz w:val="24"/>
          <w:szCs w:val="24"/>
        </w:rPr>
        <w:t>Clin</w:t>
      </w:r>
      <w:proofErr w:type="spellEnd"/>
      <w:r w:rsidRPr="00ED6316">
        <w:rPr>
          <w:sz w:val="24"/>
          <w:szCs w:val="24"/>
        </w:rPr>
        <w:t xml:space="preserve"> </w:t>
      </w:r>
      <w:proofErr w:type="spellStart"/>
      <w:r w:rsidRPr="00ED6316">
        <w:rPr>
          <w:sz w:val="24"/>
          <w:szCs w:val="24"/>
        </w:rPr>
        <w:t>Microbiol</w:t>
      </w:r>
      <w:proofErr w:type="spellEnd"/>
      <w:r w:rsidRPr="003B004A">
        <w:rPr>
          <w:sz w:val="24"/>
          <w:szCs w:val="24"/>
        </w:rPr>
        <w:t>.</w:t>
      </w:r>
      <w:proofErr w:type="gramEnd"/>
      <w:r w:rsidRPr="003B004A">
        <w:rPr>
          <w:sz w:val="24"/>
          <w:szCs w:val="24"/>
        </w:rPr>
        <w:t xml:space="preserve"> 1996</w:t>
      </w:r>
      <w:proofErr w:type="gramStart"/>
      <w:r w:rsidRPr="003B004A">
        <w:rPr>
          <w:sz w:val="24"/>
          <w:szCs w:val="24"/>
        </w:rPr>
        <w:t>;34</w:t>
      </w:r>
      <w:proofErr w:type="gramEnd"/>
      <w:r w:rsidRPr="003B004A">
        <w:rPr>
          <w:sz w:val="24"/>
          <w:szCs w:val="24"/>
        </w:rPr>
        <w:t xml:space="preserve">(8):2023-6. </w:t>
      </w:r>
    </w:p>
    <w:p w:rsidR="00A21ECD" w:rsidRPr="003B004A" w:rsidRDefault="00A21ECD" w:rsidP="00ED6316">
      <w:pPr>
        <w:rPr>
          <w:sz w:val="24"/>
          <w:szCs w:val="24"/>
        </w:rPr>
      </w:pPr>
      <w:proofErr w:type="gramStart"/>
      <w:r w:rsidRPr="003B004A">
        <w:rPr>
          <w:sz w:val="24"/>
          <w:szCs w:val="24"/>
        </w:rPr>
        <w:t>Centers for Disease Control and Prevention.</w:t>
      </w:r>
      <w:proofErr w:type="gramEnd"/>
      <w:r w:rsidRPr="003B004A">
        <w:rPr>
          <w:sz w:val="24"/>
          <w:szCs w:val="24"/>
        </w:rPr>
        <w:t xml:space="preserve"> </w:t>
      </w:r>
      <w:proofErr w:type="gramStart"/>
      <w:r w:rsidRPr="003B004A">
        <w:rPr>
          <w:sz w:val="24"/>
          <w:szCs w:val="24"/>
        </w:rPr>
        <w:t>Polio Laboratory Diagnostic Methods.</w:t>
      </w:r>
      <w:proofErr w:type="gramEnd"/>
      <w:r w:rsidRPr="003B004A">
        <w:rPr>
          <w:sz w:val="24"/>
          <w:szCs w:val="24"/>
        </w:rPr>
        <w:t xml:space="preserve"> (https://www.cdc.gov/polio/us/lab-testing/diagnostic.html, accessed 24 May 2016)</w:t>
      </w:r>
    </w:p>
    <w:p w:rsidR="00A21ECD" w:rsidRPr="00ED6316" w:rsidRDefault="00A21ECD" w:rsidP="00ED6316">
      <w:pPr>
        <w:rPr>
          <w:sz w:val="24"/>
          <w:szCs w:val="24"/>
        </w:rPr>
      </w:pPr>
      <w:proofErr w:type="spellStart"/>
      <w:r w:rsidRPr="00ED6316">
        <w:rPr>
          <w:sz w:val="24"/>
          <w:szCs w:val="24"/>
        </w:rPr>
        <w:t>Portes</w:t>
      </w:r>
      <w:proofErr w:type="spellEnd"/>
      <w:r w:rsidRPr="00ED6316">
        <w:rPr>
          <w:sz w:val="24"/>
          <w:szCs w:val="24"/>
        </w:rPr>
        <w:t xml:space="preserve"> SA, Da Silva EE, </w:t>
      </w:r>
      <w:proofErr w:type="spellStart"/>
      <w:r w:rsidRPr="00ED6316">
        <w:rPr>
          <w:sz w:val="24"/>
          <w:szCs w:val="24"/>
        </w:rPr>
        <w:t>Siqueira</w:t>
      </w:r>
      <w:proofErr w:type="spellEnd"/>
      <w:r w:rsidRPr="00ED6316">
        <w:rPr>
          <w:sz w:val="24"/>
          <w:szCs w:val="24"/>
        </w:rPr>
        <w:t xml:space="preserve"> MM, De </w:t>
      </w:r>
      <w:proofErr w:type="spellStart"/>
      <w:r w:rsidRPr="00ED6316">
        <w:rPr>
          <w:sz w:val="24"/>
          <w:szCs w:val="24"/>
        </w:rPr>
        <w:t>Filippis</w:t>
      </w:r>
      <w:proofErr w:type="spellEnd"/>
      <w:r w:rsidRPr="00ED6316">
        <w:rPr>
          <w:sz w:val="24"/>
          <w:szCs w:val="24"/>
        </w:rPr>
        <w:t xml:space="preserve"> AM, </w:t>
      </w:r>
      <w:proofErr w:type="spellStart"/>
      <w:r w:rsidRPr="00ED6316">
        <w:rPr>
          <w:sz w:val="24"/>
          <w:szCs w:val="24"/>
        </w:rPr>
        <w:t>Krawczuk</w:t>
      </w:r>
      <w:proofErr w:type="spellEnd"/>
      <w:r w:rsidRPr="00ED6316">
        <w:rPr>
          <w:sz w:val="24"/>
          <w:szCs w:val="24"/>
        </w:rPr>
        <w:t xml:space="preserve"> MM, </w:t>
      </w:r>
      <w:proofErr w:type="spellStart"/>
      <w:r w:rsidRPr="00ED6316">
        <w:rPr>
          <w:sz w:val="24"/>
          <w:szCs w:val="24"/>
        </w:rPr>
        <w:t>Nascimento</w:t>
      </w:r>
      <w:proofErr w:type="spellEnd"/>
      <w:r w:rsidRPr="00ED6316">
        <w:rPr>
          <w:sz w:val="24"/>
          <w:szCs w:val="24"/>
        </w:rPr>
        <w:t xml:space="preserve"> JP. </w:t>
      </w:r>
      <w:r w:rsidRPr="003B004A">
        <w:rPr>
          <w:sz w:val="24"/>
          <w:szCs w:val="24"/>
        </w:rPr>
        <w:t xml:space="preserve">Enteroviruses isolated from patients with acute respiratory infections during seven years in Rio de Janeiro (1985-1991). </w:t>
      </w:r>
      <w:r w:rsidRPr="00ED6316">
        <w:rPr>
          <w:sz w:val="24"/>
          <w:szCs w:val="24"/>
        </w:rPr>
        <w:t>Rev Inst Med Trop Sao Paulo. 1998</w:t>
      </w:r>
      <w:proofErr w:type="gramStart"/>
      <w:r w:rsidRPr="00ED6316">
        <w:rPr>
          <w:sz w:val="24"/>
          <w:szCs w:val="24"/>
        </w:rPr>
        <w:t>;40</w:t>
      </w:r>
      <w:proofErr w:type="gramEnd"/>
      <w:r w:rsidRPr="00ED6316">
        <w:rPr>
          <w:sz w:val="24"/>
          <w:szCs w:val="24"/>
        </w:rPr>
        <w:t>(6):337-42. http://dx.doi.org/10.1590/S0036-46651998000600001.</w:t>
      </w:r>
    </w:p>
    <w:p w:rsidR="00A21ECD" w:rsidRPr="003B004A" w:rsidRDefault="00A21ECD" w:rsidP="00ED6316">
      <w:pPr>
        <w:rPr>
          <w:sz w:val="24"/>
          <w:szCs w:val="24"/>
        </w:rPr>
      </w:pPr>
      <w:proofErr w:type="spellStart"/>
      <w:r w:rsidRPr="00ED6316">
        <w:rPr>
          <w:sz w:val="24"/>
          <w:szCs w:val="24"/>
        </w:rPr>
        <w:t>Grard</w:t>
      </w:r>
      <w:proofErr w:type="spellEnd"/>
      <w:r w:rsidRPr="00ED6316">
        <w:rPr>
          <w:sz w:val="24"/>
          <w:szCs w:val="24"/>
        </w:rPr>
        <w:t xml:space="preserve"> G, Drexler JF, </w:t>
      </w:r>
      <w:proofErr w:type="spellStart"/>
      <w:r w:rsidRPr="00ED6316">
        <w:rPr>
          <w:sz w:val="24"/>
          <w:szCs w:val="24"/>
        </w:rPr>
        <w:t>Lekana-Douki</w:t>
      </w:r>
      <w:proofErr w:type="spellEnd"/>
      <w:r w:rsidRPr="00ED6316">
        <w:rPr>
          <w:sz w:val="24"/>
          <w:szCs w:val="24"/>
        </w:rPr>
        <w:t xml:space="preserve"> S, Caron M, </w:t>
      </w:r>
      <w:proofErr w:type="spellStart"/>
      <w:r w:rsidRPr="00ED6316">
        <w:rPr>
          <w:sz w:val="24"/>
          <w:szCs w:val="24"/>
        </w:rPr>
        <w:t>Lukashev</w:t>
      </w:r>
      <w:proofErr w:type="spellEnd"/>
      <w:r w:rsidRPr="00ED6316">
        <w:rPr>
          <w:sz w:val="24"/>
          <w:szCs w:val="24"/>
        </w:rPr>
        <w:t xml:space="preserve"> A, </w:t>
      </w:r>
      <w:proofErr w:type="spellStart"/>
      <w:r w:rsidRPr="00ED6316">
        <w:rPr>
          <w:sz w:val="24"/>
          <w:szCs w:val="24"/>
        </w:rPr>
        <w:t>Nkoghe</w:t>
      </w:r>
      <w:proofErr w:type="spellEnd"/>
      <w:r w:rsidRPr="00ED6316">
        <w:rPr>
          <w:sz w:val="24"/>
          <w:szCs w:val="24"/>
        </w:rPr>
        <w:t xml:space="preserve"> D et al. </w:t>
      </w:r>
      <w:r w:rsidRPr="003B004A">
        <w:rPr>
          <w:sz w:val="24"/>
          <w:szCs w:val="24"/>
        </w:rPr>
        <w:t xml:space="preserve">Type 1 wild poliovirus and putative enterovirus 109 in an outbreak of acute flaccid paralysis in Congo, October-November 2010. </w:t>
      </w:r>
      <w:proofErr w:type="gramStart"/>
      <w:r w:rsidRPr="00ED6316">
        <w:rPr>
          <w:sz w:val="24"/>
          <w:szCs w:val="24"/>
        </w:rPr>
        <w:t xml:space="preserve">Euro </w:t>
      </w:r>
      <w:proofErr w:type="spellStart"/>
      <w:r w:rsidRPr="00ED6316">
        <w:rPr>
          <w:sz w:val="24"/>
          <w:szCs w:val="24"/>
        </w:rPr>
        <w:t>Surveill</w:t>
      </w:r>
      <w:proofErr w:type="spellEnd"/>
      <w:r w:rsidRPr="003B004A">
        <w:rPr>
          <w:sz w:val="24"/>
          <w:szCs w:val="24"/>
        </w:rPr>
        <w:t>.</w:t>
      </w:r>
      <w:proofErr w:type="gramEnd"/>
      <w:r w:rsidRPr="003B004A">
        <w:rPr>
          <w:sz w:val="24"/>
          <w:szCs w:val="24"/>
        </w:rPr>
        <w:t xml:space="preserve"> 2010</w:t>
      </w:r>
      <w:proofErr w:type="gramStart"/>
      <w:r w:rsidRPr="003B004A">
        <w:rPr>
          <w:sz w:val="24"/>
          <w:szCs w:val="24"/>
        </w:rPr>
        <w:t>;15</w:t>
      </w:r>
      <w:proofErr w:type="gramEnd"/>
      <w:r w:rsidRPr="003B004A">
        <w:rPr>
          <w:sz w:val="24"/>
          <w:szCs w:val="24"/>
        </w:rPr>
        <w:t>(47):</w:t>
      </w:r>
      <w:proofErr w:type="spellStart"/>
      <w:r w:rsidRPr="003B004A">
        <w:rPr>
          <w:sz w:val="24"/>
          <w:szCs w:val="24"/>
        </w:rPr>
        <w:t>pii</w:t>
      </w:r>
      <w:proofErr w:type="spellEnd"/>
      <w:r w:rsidRPr="003B004A">
        <w:rPr>
          <w:sz w:val="24"/>
          <w:szCs w:val="24"/>
        </w:rPr>
        <w:t>: 19723.</w:t>
      </w:r>
    </w:p>
    <w:p w:rsidR="00A21ECD" w:rsidRPr="00ED6316" w:rsidRDefault="00A21ECD" w:rsidP="00ED6316">
      <w:pPr>
        <w:rPr>
          <w:sz w:val="24"/>
          <w:szCs w:val="24"/>
        </w:rPr>
      </w:pPr>
      <w:r w:rsidRPr="003B004A">
        <w:rPr>
          <w:sz w:val="24"/>
          <w:szCs w:val="24"/>
        </w:rPr>
        <w:t xml:space="preserve">Nakamura T, Hamasaki M, Yoshitomi H, Ishibashi T, </w:t>
      </w:r>
      <w:proofErr w:type="spellStart"/>
      <w:r w:rsidRPr="003B004A">
        <w:rPr>
          <w:sz w:val="24"/>
          <w:szCs w:val="24"/>
        </w:rPr>
        <w:t>Yoshiyama</w:t>
      </w:r>
      <w:proofErr w:type="spellEnd"/>
      <w:r w:rsidRPr="003B004A">
        <w:rPr>
          <w:sz w:val="24"/>
          <w:szCs w:val="24"/>
        </w:rPr>
        <w:t xml:space="preserve"> C et al. Environmental surveillance of poliovirus in sewage water around the introduction period for inactivated polio vaccine in Japan. </w:t>
      </w:r>
      <w:proofErr w:type="spellStart"/>
      <w:r w:rsidRPr="00ED6316">
        <w:rPr>
          <w:sz w:val="24"/>
          <w:szCs w:val="24"/>
        </w:rPr>
        <w:t>Appl</w:t>
      </w:r>
      <w:proofErr w:type="spellEnd"/>
      <w:r w:rsidRPr="00ED6316">
        <w:rPr>
          <w:sz w:val="24"/>
          <w:szCs w:val="24"/>
        </w:rPr>
        <w:t xml:space="preserve"> Environ </w:t>
      </w:r>
      <w:proofErr w:type="spellStart"/>
      <w:r w:rsidRPr="00ED6316">
        <w:rPr>
          <w:sz w:val="24"/>
          <w:szCs w:val="24"/>
        </w:rPr>
        <w:t>Microbiol</w:t>
      </w:r>
      <w:proofErr w:type="spellEnd"/>
      <w:r w:rsidRPr="00ED6316">
        <w:rPr>
          <w:sz w:val="24"/>
          <w:szCs w:val="24"/>
        </w:rPr>
        <w:t>. 2015</w:t>
      </w:r>
      <w:proofErr w:type="gramStart"/>
      <w:r w:rsidRPr="00ED6316">
        <w:rPr>
          <w:sz w:val="24"/>
          <w:szCs w:val="24"/>
        </w:rPr>
        <w:t>;81</w:t>
      </w:r>
      <w:proofErr w:type="gramEnd"/>
      <w:r w:rsidRPr="00ED6316">
        <w:rPr>
          <w:sz w:val="24"/>
          <w:szCs w:val="24"/>
        </w:rPr>
        <w:t xml:space="preserve">(5):1859-64. </w:t>
      </w:r>
      <w:proofErr w:type="spellStart"/>
      <w:proofErr w:type="gramStart"/>
      <w:r w:rsidRPr="00ED6316">
        <w:rPr>
          <w:sz w:val="24"/>
          <w:szCs w:val="24"/>
        </w:rPr>
        <w:t>doi</w:t>
      </w:r>
      <w:proofErr w:type="spellEnd"/>
      <w:proofErr w:type="gramEnd"/>
      <w:r w:rsidRPr="00ED6316">
        <w:rPr>
          <w:sz w:val="24"/>
          <w:szCs w:val="24"/>
        </w:rPr>
        <w:t xml:space="preserve">: 10.1128/AEM.03575-14. </w:t>
      </w:r>
    </w:p>
    <w:p w:rsidR="00A21ECD" w:rsidRDefault="00A21ECD" w:rsidP="00ED6316">
      <w:pPr>
        <w:rPr>
          <w:sz w:val="24"/>
          <w:szCs w:val="24"/>
        </w:rPr>
      </w:pPr>
      <w:proofErr w:type="spellStart"/>
      <w:r w:rsidRPr="00ED6316">
        <w:rPr>
          <w:sz w:val="24"/>
          <w:szCs w:val="24"/>
        </w:rPr>
        <w:t>Esteves</w:t>
      </w:r>
      <w:proofErr w:type="spellEnd"/>
      <w:r w:rsidRPr="00ED6316">
        <w:rPr>
          <w:sz w:val="24"/>
          <w:szCs w:val="24"/>
        </w:rPr>
        <w:t xml:space="preserve">-Jaramillo A, </w:t>
      </w:r>
      <w:proofErr w:type="spellStart"/>
      <w:r w:rsidRPr="00ED6316">
        <w:rPr>
          <w:sz w:val="24"/>
          <w:szCs w:val="24"/>
        </w:rPr>
        <w:t>Estívariz</w:t>
      </w:r>
      <w:proofErr w:type="spellEnd"/>
      <w:r w:rsidRPr="00ED6316">
        <w:rPr>
          <w:sz w:val="24"/>
          <w:szCs w:val="24"/>
        </w:rPr>
        <w:t xml:space="preserve"> CF, </w:t>
      </w:r>
      <w:proofErr w:type="spellStart"/>
      <w:r w:rsidRPr="00ED6316">
        <w:rPr>
          <w:sz w:val="24"/>
          <w:szCs w:val="24"/>
        </w:rPr>
        <w:t>Peñaranda</w:t>
      </w:r>
      <w:proofErr w:type="spellEnd"/>
      <w:r w:rsidRPr="00ED6316">
        <w:rPr>
          <w:sz w:val="24"/>
          <w:szCs w:val="24"/>
        </w:rPr>
        <w:t xml:space="preserve"> S, Richardson VL, Reyna J et al. </w:t>
      </w:r>
      <w:r w:rsidRPr="003B004A">
        <w:rPr>
          <w:sz w:val="24"/>
          <w:szCs w:val="24"/>
        </w:rPr>
        <w:t xml:space="preserve">Detection of vaccine-derived polioviruses in Mexico using environmental surveillance. </w:t>
      </w:r>
      <w:r w:rsidRPr="00ED6316">
        <w:rPr>
          <w:sz w:val="24"/>
          <w:szCs w:val="24"/>
        </w:rPr>
        <w:t>J Infect Dis</w:t>
      </w:r>
      <w:r w:rsidRPr="003B004A">
        <w:rPr>
          <w:sz w:val="24"/>
          <w:szCs w:val="24"/>
        </w:rPr>
        <w:t>. 2014</w:t>
      </w:r>
      <w:proofErr w:type="gramStart"/>
      <w:r w:rsidRPr="003B004A">
        <w:rPr>
          <w:sz w:val="24"/>
          <w:szCs w:val="24"/>
        </w:rPr>
        <w:t>;210</w:t>
      </w:r>
      <w:proofErr w:type="gramEnd"/>
      <w:r w:rsidRPr="003B004A">
        <w:rPr>
          <w:sz w:val="24"/>
          <w:szCs w:val="24"/>
        </w:rPr>
        <w:t xml:space="preserve">(suppl. 1):S315-23. </w:t>
      </w:r>
      <w:proofErr w:type="spellStart"/>
      <w:proofErr w:type="gramStart"/>
      <w:r w:rsidRPr="003B004A">
        <w:rPr>
          <w:sz w:val="24"/>
          <w:szCs w:val="24"/>
        </w:rPr>
        <w:t>doi</w:t>
      </w:r>
      <w:proofErr w:type="spellEnd"/>
      <w:proofErr w:type="gramEnd"/>
      <w:r w:rsidRPr="003B004A">
        <w:rPr>
          <w:sz w:val="24"/>
          <w:szCs w:val="24"/>
        </w:rPr>
        <w:t>: 10.1093/</w:t>
      </w:r>
      <w:proofErr w:type="spellStart"/>
      <w:r w:rsidRPr="003B004A">
        <w:rPr>
          <w:sz w:val="24"/>
          <w:szCs w:val="24"/>
        </w:rPr>
        <w:t>infdis</w:t>
      </w:r>
      <w:proofErr w:type="spellEnd"/>
      <w:r w:rsidRPr="003B004A">
        <w:rPr>
          <w:sz w:val="24"/>
          <w:szCs w:val="24"/>
        </w:rPr>
        <w:t>/jiu183.</w:t>
      </w:r>
    </w:p>
    <w:p w:rsidR="00E0107C" w:rsidRPr="002D716D" w:rsidRDefault="00E0107C" w:rsidP="00ED6316">
      <w:pPr>
        <w:rPr>
          <w:sz w:val="24"/>
          <w:szCs w:val="24"/>
        </w:rPr>
      </w:pPr>
      <w:proofErr w:type="gramStart"/>
      <w:r w:rsidRPr="002D716D">
        <w:rPr>
          <w:sz w:val="24"/>
          <w:szCs w:val="24"/>
        </w:rPr>
        <w:t xml:space="preserve">Khan S, Peng X, Yin J, Zhang P, </w:t>
      </w:r>
      <w:proofErr w:type="spellStart"/>
      <w:r w:rsidRPr="002D716D">
        <w:rPr>
          <w:sz w:val="24"/>
          <w:szCs w:val="24"/>
        </w:rPr>
        <w:t>Wimmer</w:t>
      </w:r>
      <w:proofErr w:type="spellEnd"/>
      <w:r w:rsidRPr="002D716D">
        <w:rPr>
          <w:sz w:val="24"/>
          <w:szCs w:val="24"/>
        </w:rPr>
        <w:t xml:space="preserve"> E. Characterization of the New World monkey homologues of human poliovirus receptor CD155.</w:t>
      </w:r>
      <w:proofErr w:type="gramEnd"/>
      <w:r w:rsidRPr="002D716D">
        <w:rPr>
          <w:sz w:val="24"/>
          <w:szCs w:val="24"/>
        </w:rPr>
        <w:t xml:space="preserve"> </w:t>
      </w:r>
      <w:proofErr w:type="gramStart"/>
      <w:r w:rsidRPr="00ED6316">
        <w:rPr>
          <w:sz w:val="24"/>
          <w:szCs w:val="24"/>
        </w:rPr>
        <w:t xml:space="preserve">J </w:t>
      </w:r>
      <w:proofErr w:type="spellStart"/>
      <w:r w:rsidRPr="00ED6316">
        <w:rPr>
          <w:sz w:val="24"/>
          <w:szCs w:val="24"/>
        </w:rPr>
        <w:t>Virol</w:t>
      </w:r>
      <w:proofErr w:type="spellEnd"/>
      <w:r w:rsidRPr="002D716D">
        <w:rPr>
          <w:sz w:val="24"/>
          <w:szCs w:val="24"/>
        </w:rPr>
        <w:t>.</w:t>
      </w:r>
      <w:proofErr w:type="gramEnd"/>
      <w:r w:rsidRPr="002D716D">
        <w:rPr>
          <w:sz w:val="24"/>
          <w:szCs w:val="24"/>
        </w:rPr>
        <w:t xml:space="preserve"> 2008</w:t>
      </w:r>
      <w:proofErr w:type="gramStart"/>
      <w:r w:rsidRPr="002D716D">
        <w:rPr>
          <w:sz w:val="24"/>
          <w:szCs w:val="24"/>
        </w:rPr>
        <w:t>;82</w:t>
      </w:r>
      <w:proofErr w:type="gramEnd"/>
      <w:r w:rsidRPr="002D716D">
        <w:rPr>
          <w:sz w:val="24"/>
          <w:szCs w:val="24"/>
        </w:rPr>
        <w:t>(14):7167-7179.</w:t>
      </w:r>
    </w:p>
    <w:p w:rsidR="00E0107C" w:rsidRPr="002D716D" w:rsidRDefault="00E0107C" w:rsidP="00ED6316">
      <w:pPr>
        <w:rPr>
          <w:sz w:val="24"/>
          <w:szCs w:val="24"/>
        </w:rPr>
      </w:pPr>
      <w:proofErr w:type="spellStart"/>
      <w:r w:rsidRPr="002D716D">
        <w:rPr>
          <w:sz w:val="24"/>
          <w:szCs w:val="24"/>
        </w:rPr>
        <w:t>Racaniello</w:t>
      </w:r>
      <w:proofErr w:type="spellEnd"/>
      <w:r w:rsidRPr="002D716D">
        <w:rPr>
          <w:sz w:val="24"/>
          <w:szCs w:val="24"/>
        </w:rPr>
        <w:t xml:space="preserve"> V. One hundred years of poliovirus pathogenesis. </w:t>
      </w:r>
      <w:proofErr w:type="gramStart"/>
      <w:r w:rsidRPr="00ED6316">
        <w:rPr>
          <w:sz w:val="24"/>
          <w:szCs w:val="24"/>
        </w:rPr>
        <w:t>Virology</w:t>
      </w:r>
      <w:r w:rsidRPr="002D716D">
        <w:rPr>
          <w:sz w:val="24"/>
          <w:szCs w:val="24"/>
        </w:rPr>
        <w:t>.</w:t>
      </w:r>
      <w:proofErr w:type="gramEnd"/>
      <w:r w:rsidRPr="002D716D">
        <w:rPr>
          <w:sz w:val="24"/>
          <w:szCs w:val="24"/>
        </w:rPr>
        <w:t xml:space="preserve"> 2005</w:t>
      </w:r>
      <w:proofErr w:type="gramStart"/>
      <w:r w:rsidRPr="002D716D">
        <w:rPr>
          <w:sz w:val="24"/>
          <w:szCs w:val="24"/>
        </w:rPr>
        <w:t>;344</w:t>
      </w:r>
      <w:proofErr w:type="gramEnd"/>
      <w:r w:rsidRPr="002D716D">
        <w:rPr>
          <w:sz w:val="24"/>
          <w:szCs w:val="24"/>
        </w:rPr>
        <w:t>(2006):9-16.</w:t>
      </w:r>
    </w:p>
    <w:p w:rsidR="00E0107C" w:rsidRPr="002D716D" w:rsidRDefault="00E0107C" w:rsidP="00ED6316">
      <w:pPr>
        <w:rPr>
          <w:sz w:val="24"/>
          <w:szCs w:val="24"/>
        </w:rPr>
      </w:pPr>
      <w:proofErr w:type="gramStart"/>
      <w:r w:rsidRPr="002D716D">
        <w:rPr>
          <w:sz w:val="24"/>
          <w:szCs w:val="24"/>
        </w:rPr>
        <w:t xml:space="preserve">Burns C, </w:t>
      </w:r>
      <w:proofErr w:type="spellStart"/>
      <w:r w:rsidRPr="002D716D">
        <w:rPr>
          <w:sz w:val="24"/>
          <w:szCs w:val="24"/>
        </w:rPr>
        <w:t>Diop</w:t>
      </w:r>
      <w:proofErr w:type="spellEnd"/>
      <w:r w:rsidRPr="002D716D">
        <w:rPr>
          <w:sz w:val="24"/>
          <w:szCs w:val="24"/>
        </w:rPr>
        <w:t xml:space="preserve"> O, Sutter R, Kew O. Vaccine-derived polioviruses.</w:t>
      </w:r>
      <w:proofErr w:type="gramEnd"/>
      <w:r w:rsidRPr="002D716D">
        <w:rPr>
          <w:sz w:val="24"/>
          <w:szCs w:val="24"/>
        </w:rPr>
        <w:t xml:space="preserve"> </w:t>
      </w:r>
      <w:r w:rsidRPr="00ED6316">
        <w:rPr>
          <w:sz w:val="24"/>
          <w:szCs w:val="24"/>
        </w:rPr>
        <w:t>J Infect Dis</w:t>
      </w:r>
      <w:r w:rsidRPr="002D716D">
        <w:rPr>
          <w:sz w:val="24"/>
          <w:szCs w:val="24"/>
        </w:rPr>
        <w:t>. 2014</w:t>
      </w:r>
      <w:proofErr w:type="gramStart"/>
      <w:r w:rsidRPr="002D716D">
        <w:rPr>
          <w:sz w:val="24"/>
          <w:szCs w:val="24"/>
        </w:rPr>
        <w:t>;210</w:t>
      </w:r>
      <w:proofErr w:type="gramEnd"/>
      <w:r w:rsidRPr="002D716D">
        <w:rPr>
          <w:sz w:val="24"/>
          <w:szCs w:val="24"/>
        </w:rPr>
        <w:t>(S1):S283-293.</w:t>
      </w:r>
    </w:p>
    <w:p w:rsidR="00E0107C" w:rsidRDefault="00E0107C" w:rsidP="00ED6316">
      <w:pPr>
        <w:rPr>
          <w:sz w:val="24"/>
          <w:szCs w:val="24"/>
        </w:rPr>
      </w:pPr>
      <w:proofErr w:type="spellStart"/>
      <w:r w:rsidRPr="002D716D">
        <w:rPr>
          <w:sz w:val="24"/>
          <w:szCs w:val="24"/>
        </w:rPr>
        <w:lastRenderedPageBreak/>
        <w:t>Aylward</w:t>
      </w:r>
      <w:proofErr w:type="spellEnd"/>
      <w:r w:rsidRPr="002D716D">
        <w:rPr>
          <w:sz w:val="24"/>
          <w:szCs w:val="24"/>
        </w:rPr>
        <w:t xml:space="preserve"> R. 2015. </w:t>
      </w:r>
      <w:proofErr w:type="gramStart"/>
      <w:r w:rsidRPr="002D716D">
        <w:rPr>
          <w:sz w:val="24"/>
          <w:szCs w:val="24"/>
        </w:rPr>
        <w:t>Poliomyelitis.</w:t>
      </w:r>
      <w:proofErr w:type="gramEnd"/>
      <w:r w:rsidRPr="002D716D">
        <w:rPr>
          <w:sz w:val="24"/>
          <w:szCs w:val="24"/>
        </w:rPr>
        <w:t xml:space="preserve"> In: </w:t>
      </w:r>
      <w:proofErr w:type="spellStart"/>
      <w:r w:rsidRPr="002D716D">
        <w:rPr>
          <w:sz w:val="24"/>
          <w:szCs w:val="24"/>
        </w:rPr>
        <w:t>Heymann</w:t>
      </w:r>
      <w:proofErr w:type="spellEnd"/>
      <w:r w:rsidRPr="002D716D">
        <w:rPr>
          <w:sz w:val="24"/>
          <w:szCs w:val="24"/>
        </w:rPr>
        <w:t xml:space="preserve"> D. ed. </w:t>
      </w:r>
      <w:r w:rsidRPr="00ED6316">
        <w:rPr>
          <w:sz w:val="24"/>
          <w:szCs w:val="24"/>
        </w:rPr>
        <w:t>Control of communicable diseases manual</w:t>
      </w:r>
      <w:r w:rsidRPr="002D716D">
        <w:rPr>
          <w:sz w:val="24"/>
          <w:szCs w:val="24"/>
        </w:rPr>
        <w:t>. (20</w:t>
      </w:r>
      <w:r w:rsidRPr="00ED6316">
        <w:rPr>
          <w:sz w:val="24"/>
          <w:szCs w:val="24"/>
        </w:rPr>
        <w:t>th</w:t>
      </w:r>
      <w:r w:rsidRPr="002D716D">
        <w:rPr>
          <w:sz w:val="24"/>
          <w:szCs w:val="24"/>
        </w:rPr>
        <w:t xml:space="preserve"> </w:t>
      </w:r>
      <w:proofErr w:type="gramStart"/>
      <w:r w:rsidRPr="002D716D">
        <w:rPr>
          <w:sz w:val="24"/>
          <w:szCs w:val="24"/>
        </w:rPr>
        <w:t>ed</w:t>
      </w:r>
      <w:proofErr w:type="gramEnd"/>
      <w:r w:rsidRPr="002D716D">
        <w:rPr>
          <w:sz w:val="24"/>
          <w:szCs w:val="24"/>
        </w:rPr>
        <w:t>.). Washington, DC: APHA Press, pp. 477-484.</w:t>
      </w:r>
    </w:p>
    <w:p w:rsidR="0058464F" w:rsidRPr="003B004A" w:rsidRDefault="0058464F" w:rsidP="00ED6316">
      <w:pPr>
        <w:rPr>
          <w:sz w:val="24"/>
          <w:szCs w:val="24"/>
        </w:rPr>
      </w:pPr>
      <w:proofErr w:type="spellStart"/>
      <w:proofErr w:type="gramStart"/>
      <w:r>
        <w:rPr>
          <w:sz w:val="24"/>
          <w:szCs w:val="24"/>
        </w:rPr>
        <w:t>Diop</w:t>
      </w:r>
      <w:proofErr w:type="spellEnd"/>
      <w:r>
        <w:rPr>
          <w:sz w:val="24"/>
          <w:szCs w:val="24"/>
        </w:rPr>
        <w:t xml:space="preserve"> O. </w:t>
      </w:r>
      <w:r w:rsidRPr="0058464F">
        <w:rPr>
          <w:sz w:val="24"/>
          <w:szCs w:val="24"/>
        </w:rPr>
        <w:t>Overview of the performance of the Global Polio Laboratory Network</w:t>
      </w:r>
      <w:r>
        <w:rPr>
          <w:sz w:val="24"/>
          <w:szCs w:val="24"/>
        </w:rPr>
        <w:t>.</w:t>
      </w:r>
      <w:proofErr w:type="gramEnd"/>
      <w:r>
        <w:rPr>
          <w:sz w:val="24"/>
          <w:szCs w:val="24"/>
        </w:rPr>
        <w:t xml:space="preserve"> Presented at 22</w:t>
      </w:r>
      <w:r w:rsidRPr="00ED6316">
        <w:rPr>
          <w:sz w:val="24"/>
          <w:szCs w:val="24"/>
        </w:rPr>
        <w:t>nd</w:t>
      </w:r>
      <w:r>
        <w:rPr>
          <w:sz w:val="24"/>
          <w:szCs w:val="24"/>
        </w:rPr>
        <w:t xml:space="preserve"> </w:t>
      </w:r>
      <w:r w:rsidRPr="0058464F">
        <w:rPr>
          <w:sz w:val="24"/>
          <w:szCs w:val="24"/>
        </w:rPr>
        <w:t xml:space="preserve">Informal Consultation on the Global Polio Laboratory Network, Geneva, </w:t>
      </w:r>
      <w:r>
        <w:rPr>
          <w:sz w:val="24"/>
          <w:szCs w:val="24"/>
        </w:rPr>
        <w:t xml:space="preserve">Switzerland, </w:t>
      </w:r>
      <w:proofErr w:type="gramStart"/>
      <w:r w:rsidRPr="0058464F">
        <w:rPr>
          <w:sz w:val="24"/>
          <w:szCs w:val="24"/>
        </w:rPr>
        <w:t>10</w:t>
      </w:r>
      <w:proofErr w:type="gramEnd"/>
      <w:r w:rsidRPr="0058464F">
        <w:rPr>
          <w:sz w:val="24"/>
          <w:szCs w:val="24"/>
        </w:rPr>
        <w:t xml:space="preserve"> March 2016</w:t>
      </w:r>
      <w:r>
        <w:rPr>
          <w:sz w:val="24"/>
          <w:szCs w:val="24"/>
        </w:rPr>
        <w:t>.</w:t>
      </w:r>
    </w:p>
    <w:p w:rsidR="00A21ECD" w:rsidRPr="003B004A" w:rsidRDefault="00A21ECD" w:rsidP="00A21ECD">
      <w:pPr>
        <w:pStyle w:val="NoSpacing"/>
        <w:jc w:val="left"/>
        <w:rPr>
          <w:rFonts w:asciiTheme="minorHAnsi" w:hAnsiTheme="minorHAnsi"/>
          <w:b/>
          <w:sz w:val="24"/>
          <w:szCs w:val="24"/>
        </w:rPr>
      </w:pPr>
      <w:r w:rsidRPr="003B004A">
        <w:rPr>
          <w:rFonts w:asciiTheme="minorHAnsi" w:hAnsiTheme="minorHAnsi"/>
          <w:b/>
          <w:sz w:val="24"/>
          <w:szCs w:val="24"/>
        </w:rPr>
        <w:t>Molecular detection and manipulation of PV</w:t>
      </w:r>
    </w:p>
    <w:p w:rsidR="00A21ECD" w:rsidRPr="003B004A" w:rsidRDefault="00A21ECD" w:rsidP="00ED6316">
      <w:pPr>
        <w:rPr>
          <w:sz w:val="24"/>
          <w:szCs w:val="24"/>
        </w:rPr>
      </w:pPr>
      <w:r w:rsidRPr="003B004A">
        <w:rPr>
          <w:sz w:val="24"/>
          <w:szCs w:val="24"/>
        </w:rPr>
        <w:t>Lee-</w:t>
      </w:r>
      <w:proofErr w:type="spellStart"/>
      <w:r w:rsidRPr="003B004A">
        <w:rPr>
          <w:sz w:val="24"/>
          <w:szCs w:val="24"/>
        </w:rPr>
        <w:t>Montiel</w:t>
      </w:r>
      <w:proofErr w:type="spellEnd"/>
      <w:r w:rsidRPr="003B004A">
        <w:rPr>
          <w:sz w:val="24"/>
          <w:szCs w:val="24"/>
        </w:rPr>
        <w:t xml:space="preserve"> FT, Reynolds KA, Riley MR. Detection and quantification of poliovirus infection using FTIR spectroscopy and cell culture. </w:t>
      </w:r>
      <w:r w:rsidRPr="00ED6316">
        <w:rPr>
          <w:sz w:val="24"/>
          <w:szCs w:val="24"/>
        </w:rPr>
        <w:t xml:space="preserve">J </w:t>
      </w:r>
      <w:proofErr w:type="spellStart"/>
      <w:r w:rsidRPr="00ED6316">
        <w:rPr>
          <w:sz w:val="24"/>
          <w:szCs w:val="24"/>
        </w:rPr>
        <w:t>Biol</w:t>
      </w:r>
      <w:proofErr w:type="spellEnd"/>
      <w:r w:rsidRPr="00ED6316">
        <w:rPr>
          <w:sz w:val="24"/>
          <w:szCs w:val="24"/>
        </w:rPr>
        <w:t xml:space="preserve"> Eng</w:t>
      </w:r>
      <w:r w:rsidRPr="003B004A">
        <w:rPr>
          <w:sz w:val="24"/>
          <w:szCs w:val="24"/>
        </w:rPr>
        <w:t>. 2011</w:t>
      </w:r>
      <w:proofErr w:type="gramStart"/>
      <w:r w:rsidRPr="003B004A">
        <w:rPr>
          <w:sz w:val="24"/>
          <w:szCs w:val="24"/>
        </w:rPr>
        <w:t>;5:16</w:t>
      </w:r>
      <w:proofErr w:type="gramEnd"/>
      <w:r w:rsidRPr="003B004A">
        <w:rPr>
          <w:sz w:val="24"/>
          <w:szCs w:val="24"/>
        </w:rPr>
        <w:t xml:space="preserve">. </w:t>
      </w:r>
      <w:proofErr w:type="spellStart"/>
      <w:proofErr w:type="gramStart"/>
      <w:r w:rsidRPr="003B004A">
        <w:rPr>
          <w:sz w:val="24"/>
          <w:szCs w:val="24"/>
        </w:rPr>
        <w:t>doi</w:t>
      </w:r>
      <w:proofErr w:type="spellEnd"/>
      <w:proofErr w:type="gramEnd"/>
      <w:r w:rsidRPr="003B004A">
        <w:rPr>
          <w:sz w:val="24"/>
          <w:szCs w:val="24"/>
        </w:rPr>
        <w:t>: 10.1186/1754-1611-5-16.</w:t>
      </w:r>
    </w:p>
    <w:p w:rsidR="00A21ECD" w:rsidRPr="003B004A" w:rsidRDefault="00A21ECD" w:rsidP="00ED6316">
      <w:pPr>
        <w:rPr>
          <w:sz w:val="24"/>
          <w:szCs w:val="24"/>
        </w:rPr>
      </w:pPr>
      <w:r w:rsidRPr="003B004A">
        <w:rPr>
          <w:sz w:val="24"/>
          <w:szCs w:val="24"/>
        </w:rPr>
        <w:t xml:space="preserve">Cello J, Paul AV, </w:t>
      </w:r>
      <w:proofErr w:type="spellStart"/>
      <w:r w:rsidRPr="003B004A">
        <w:rPr>
          <w:sz w:val="24"/>
          <w:szCs w:val="24"/>
        </w:rPr>
        <w:t>Wimmer</w:t>
      </w:r>
      <w:proofErr w:type="spellEnd"/>
      <w:r w:rsidRPr="003B004A">
        <w:rPr>
          <w:sz w:val="24"/>
          <w:szCs w:val="24"/>
        </w:rPr>
        <w:t xml:space="preserve"> E. Chemical synthesis of poliovirus cDNA: generation of infectious virus in the absence of natural template. </w:t>
      </w:r>
      <w:proofErr w:type="gramStart"/>
      <w:r w:rsidRPr="00ED6316">
        <w:rPr>
          <w:sz w:val="24"/>
          <w:szCs w:val="24"/>
        </w:rPr>
        <w:t>Science</w:t>
      </w:r>
      <w:r w:rsidRPr="003B004A">
        <w:rPr>
          <w:sz w:val="24"/>
          <w:szCs w:val="24"/>
        </w:rPr>
        <w:t>.</w:t>
      </w:r>
      <w:proofErr w:type="gramEnd"/>
      <w:r w:rsidRPr="003B004A">
        <w:rPr>
          <w:sz w:val="24"/>
          <w:szCs w:val="24"/>
        </w:rPr>
        <w:t xml:space="preserve"> 2002</w:t>
      </w:r>
      <w:proofErr w:type="gramStart"/>
      <w:r w:rsidRPr="003B004A">
        <w:rPr>
          <w:sz w:val="24"/>
          <w:szCs w:val="24"/>
        </w:rPr>
        <w:t>;297</w:t>
      </w:r>
      <w:proofErr w:type="gramEnd"/>
      <w:r w:rsidRPr="003B004A">
        <w:rPr>
          <w:sz w:val="24"/>
          <w:szCs w:val="24"/>
        </w:rPr>
        <w:t xml:space="preserve">(5583):1016-8. </w:t>
      </w:r>
      <w:proofErr w:type="spellStart"/>
      <w:proofErr w:type="gramStart"/>
      <w:r w:rsidRPr="003B004A">
        <w:rPr>
          <w:sz w:val="24"/>
          <w:szCs w:val="24"/>
        </w:rPr>
        <w:t>dOI</w:t>
      </w:r>
      <w:proofErr w:type="spellEnd"/>
      <w:proofErr w:type="gramEnd"/>
      <w:r w:rsidRPr="003B004A">
        <w:rPr>
          <w:sz w:val="24"/>
          <w:szCs w:val="24"/>
        </w:rPr>
        <w:t>: 10.1126/science.1072266.</w:t>
      </w:r>
    </w:p>
    <w:p w:rsidR="00A21ECD" w:rsidRPr="00ED6316" w:rsidRDefault="00A21ECD" w:rsidP="00ED6316">
      <w:pPr>
        <w:rPr>
          <w:sz w:val="24"/>
          <w:szCs w:val="24"/>
        </w:rPr>
      </w:pPr>
      <w:proofErr w:type="spellStart"/>
      <w:r w:rsidRPr="003B004A">
        <w:rPr>
          <w:sz w:val="24"/>
          <w:szCs w:val="24"/>
        </w:rPr>
        <w:t>Wimmer</w:t>
      </w:r>
      <w:proofErr w:type="spellEnd"/>
      <w:r w:rsidRPr="003B004A">
        <w:rPr>
          <w:sz w:val="24"/>
          <w:szCs w:val="24"/>
        </w:rPr>
        <w:t xml:space="preserve"> E, Paul AV. Synthetic poliovirus and other designer viruses: what have we learned from them? </w:t>
      </w:r>
      <w:proofErr w:type="spellStart"/>
      <w:proofErr w:type="gramStart"/>
      <w:r w:rsidRPr="00ED6316">
        <w:rPr>
          <w:sz w:val="24"/>
          <w:szCs w:val="24"/>
        </w:rPr>
        <w:t>Annu</w:t>
      </w:r>
      <w:proofErr w:type="spellEnd"/>
      <w:r w:rsidRPr="00ED6316">
        <w:rPr>
          <w:sz w:val="24"/>
          <w:szCs w:val="24"/>
        </w:rPr>
        <w:t xml:space="preserve"> Rev </w:t>
      </w:r>
      <w:proofErr w:type="spellStart"/>
      <w:r w:rsidRPr="00ED6316">
        <w:rPr>
          <w:sz w:val="24"/>
          <w:szCs w:val="24"/>
        </w:rPr>
        <w:t>Microbiol</w:t>
      </w:r>
      <w:proofErr w:type="spellEnd"/>
      <w:r w:rsidRPr="00ED6316">
        <w:rPr>
          <w:sz w:val="24"/>
          <w:szCs w:val="24"/>
        </w:rPr>
        <w:t>.</w:t>
      </w:r>
      <w:proofErr w:type="gramEnd"/>
      <w:r w:rsidRPr="00ED6316">
        <w:rPr>
          <w:sz w:val="24"/>
          <w:szCs w:val="24"/>
        </w:rPr>
        <w:t xml:space="preserve"> 2011</w:t>
      </w:r>
      <w:proofErr w:type="gramStart"/>
      <w:r w:rsidRPr="00ED6316">
        <w:rPr>
          <w:sz w:val="24"/>
          <w:szCs w:val="24"/>
        </w:rPr>
        <w:t>;65:583</w:t>
      </w:r>
      <w:proofErr w:type="gramEnd"/>
      <w:r w:rsidRPr="00ED6316">
        <w:rPr>
          <w:sz w:val="24"/>
          <w:szCs w:val="24"/>
        </w:rPr>
        <w:t xml:space="preserve">-609. </w:t>
      </w:r>
      <w:proofErr w:type="spellStart"/>
      <w:proofErr w:type="gramStart"/>
      <w:r w:rsidRPr="00ED6316">
        <w:rPr>
          <w:sz w:val="24"/>
          <w:szCs w:val="24"/>
        </w:rPr>
        <w:t>doi</w:t>
      </w:r>
      <w:proofErr w:type="spellEnd"/>
      <w:proofErr w:type="gramEnd"/>
      <w:r w:rsidRPr="00ED6316">
        <w:rPr>
          <w:sz w:val="24"/>
          <w:szCs w:val="24"/>
        </w:rPr>
        <w:t>: 10.1146/annurev-micro-090110-102957.</w:t>
      </w:r>
    </w:p>
    <w:p w:rsidR="00A21ECD" w:rsidRPr="003B004A" w:rsidRDefault="00A21ECD" w:rsidP="00ED6316">
      <w:pPr>
        <w:rPr>
          <w:sz w:val="24"/>
          <w:szCs w:val="24"/>
        </w:rPr>
      </w:pPr>
      <w:proofErr w:type="spellStart"/>
      <w:r w:rsidRPr="00ED6316">
        <w:rPr>
          <w:sz w:val="24"/>
          <w:szCs w:val="24"/>
        </w:rPr>
        <w:t>Nijhuis</w:t>
      </w:r>
      <w:proofErr w:type="spellEnd"/>
      <w:r w:rsidRPr="00ED6316">
        <w:rPr>
          <w:sz w:val="24"/>
          <w:szCs w:val="24"/>
        </w:rPr>
        <w:t xml:space="preserve"> M, van </w:t>
      </w:r>
      <w:proofErr w:type="spellStart"/>
      <w:r w:rsidRPr="00ED6316">
        <w:rPr>
          <w:sz w:val="24"/>
          <w:szCs w:val="24"/>
        </w:rPr>
        <w:t>Maarseveen</w:t>
      </w:r>
      <w:proofErr w:type="spellEnd"/>
      <w:r w:rsidRPr="00ED6316">
        <w:rPr>
          <w:sz w:val="24"/>
          <w:szCs w:val="24"/>
        </w:rPr>
        <w:t xml:space="preserve"> N, </w:t>
      </w:r>
      <w:proofErr w:type="spellStart"/>
      <w:r w:rsidRPr="00ED6316">
        <w:rPr>
          <w:sz w:val="24"/>
          <w:szCs w:val="24"/>
        </w:rPr>
        <w:t>Schuurman</w:t>
      </w:r>
      <w:proofErr w:type="spellEnd"/>
      <w:r w:rsidRPr="00ED6316">
        <w:rPr>
          <w:sz w:val="24"/>
          <w:szCs w:val="24"/>
        </w:rPr>
        <w:t xml:space="preserve"> R, </w:t>
      </w:r>
      <w:proofErr w:type="spellStart"/>
      <w:r w:rsidRPr="00ED6316">
        <w:rPr>
          <w:sz w:val="24"/>
          <w:szCs w:val="24"/>
        </w:rPr>
        <w:t>Verkuijlen</w:t>
      </w:r>
      <w:proofErr w:type="spellEnd"/>
      <w:r w:rsidRPr="00ED6316">
        <w:rPr>
          <w:sz w:val="24"/>
          <w:szCs w:val="24"/>
        </w:rPr>
        <w:t xml:space="preserve"> S, de </w:t>
      </w:r>
      <w:proofErr w:type="spellStart"/>
      <w:r w:rsidRPr="00ED6316">
        <w:rPr>
          <w:sz w:val="24"/>
          <w:szCs w:val="24"/>
        </w:rPr>
        <w:t>Vos</w:t>
      </w:r>
      <w:proofErr w:type="spellEnd"/>
      <w:r w:rsidRPr="00ED6316">
        <w:rPr>
          <w:sz w:val="24"/>
          <w:szCs w:val="24"/>
        </w:rPr>
        <w:t xml:space="preserve"> M, </w:t>
      </w:r>
      <w:proofErr w:type="spellStart"/>
      <w:r w:rsidRPr="00ED6316">
        <w:rPr>
          <w:sz w:val="24"/>
          <w:szCs w:val="24"/>
        </w:rPr>
        <w:t>Hendriksen</w:t>
      </w:r>
      <w:proofErr w:type="spellEnd"/>
      <w:r w:rsidRPr="00ED6316">
        <w:rPr>
          <w:sz w:val="24"/>
          <w:szCs w:val="24"/>
        </w:rPr>
        <w:t xml:space="preserve"> K et al. </w:t>
      </w:r>
      <w:r w:rsidRPr="003B004A">
        <w:rPr>
          <w:sz w:val="24"/>
          <w:szCs w:val="24"/>
        </w:rPr>
        <w:t>Rapid and sensitive routine detection of all members of the genus enterovirus in different clinical specimens by real-time PCR</w:t>
      </w:r>
      <w:r w:rsidRPr="00ED6316">
        <w:rPr>
          <w:sz w:val="24"/>
          <w:szCs w:val="24"/>
        </w:rPr>
        <w:t xml:space="preserve">. </w:t>
      </w:r>
      <w:proofErr w:type="gramStart"/>
      <w:r w:rsidRPr="00ED6316">
        <w:rPr>
          <w:sz w:val="24"/>
          <w:szCs w:val="24"/>
        </w:rPr>
        <w:t xml:space="preserve">J </w:t>
      </w:r>
      <w:proofErr w:type="spellStart"/>
      <w:r w:rsidRPr="00ED6316">
        <w:rPr>
          <w:sz w:val="24"/>
          <w:szCs w:val="24"/>
        </w:rPr>
        <w:t>Clin</w:t>
      </w:r>
      <w:proofErr w:type="spellEnd"/>
      <w:r w:rsidRPr="00ED6316">
        <w:rPr>
          <w:sz w:val="24"/>
          <w:szCs w:val="24"/>
        </w:rPr>
        <w:t xml:space="preserve"> </w:t>
      </w:r>
      <w:proofErr w:type="spellStart"/>
      <w:r w:rsidRPr="00ED6316">
        <w:rPr>
          <w:sz w:val="24"/>
          <w:szCs w:val="24"/>
        </w:rPr>
        <w:t>Microbiol</w:t>
      </w:r>
      <w:proofErr w:type="spellEnd"/>
      <w:r w:rsidRPr="003B004A">
        <w:rPr>
          <w:sz w:val="24"/>
          <w:szCs w:val="24"/>
        </w:rPr>
        <w:t>.</w:t>
      </w:r>
      <w:proofErr w:type="gramEnd"/>
      <w:r w:rsidRPr="003B004A">
        <w:rPr>
          <w:sz w:val="24"/>
          <w:szCs w:val="24"/>
        </w:rPr>
        <w:t xml:space="preserve"> 2002</w:t>
      </w:r>
      <w:proofErr w:type="gramStart"/>
      <w:r w:rsidRPr="003B004A">
        <w:rPr>
          <w:sz w:val="24"/>
          <w:szCs w:val="24"/>
        </w:rPr>
        <w:t>;40</w:t>
      </w:r>
      <w:proofErr w:type="gramEnd"/>
      <w:r w:rsidRPr="003B004A">
        <w:rPr>
          <w:sz w:val="24"/>
          <w:szCs w:val="24"/>
        </w:rPr>
        <w:t xml:space="preserve">(10):3666-70. </w:t>
      </w:r>
      <w:proofErr w:type="spellStart"/>
      <w:proofErr w:type="gramStart"/>
      <w:r w:rsidRPr="003B004A">
        <w:rPr>
          <w:sz w:val="24"/>
          <w:szCs w:val="24"/>
        </w:rPr>
        <w:t>doi</w:t>
      </w:r>
      <w:proofErr w:type="spellEnd"/>
      <w:proofErr w:type="gramEnd"/>
      <w:r w:rsidRPr="003B004A">
        <w:rPr>
          <w:sz w:val="24"/>
          <w:szCs w:val="24"/>
        </w:rPr>
        <w:t xml:space="preserve">: 10.1128/JCM.40.10.3666-3670.2002. </w:t>
      </w:r>
    </w:p>
    <w:p w:rsidR="00A21ECD" w:rsidRPr="003B004A" w:rsidRDefault="00A21ECD" w:rsidP="00ED6316">
      <w:pPr>
        <w:rPr>
          <w:sz w:val="24"/>
          <w:szCs w:val="24"/>
        </w:rPr>
      </w:pPr>
      <w:r w:rsidRPr="003B004A">
        <w:rPr>
          <w:sz w:val="24"/>
          <w:szCs w:val="24"/>
        </w:rPr>
        <w:t xml:space="preserve">Macadam AJ, Ferguson G, Stone DM, Meredith J, </w:t>
      </w:r>
      <w:proofErr w:type="spellStart"/>
      <w:r w:rsidRPr="003B004A">
        <w:rPr>
          <w:sz w:val="24"/>
          <w:szCs w:val="24"/>
        </w:rPr>
        <w:t>Knowlson</w:t>
      </w:r>
      <w:proofErr w:type="spellEnd"/>
      <w:r w:rsidRPr="003B004A">
        <w:rPr>
          <w:sz w:val="24"/>
          <w:szCs w:val="24"/>
        </w:rPr>
        <w:t xml:space="preserve"> S, </w:t>
      </w:r>
      <w:proofErr w:type="spellStart"/>
      <w:proofErr w:type="gramStart"/>
      <w:r w:rsidRPr="003B004A">
        <w:rPr>
          <w:sz w:val="24"/>
          <w:szCs w:val="24"/>
        </w:rPr>
        <w:t>Auda</w:t>
      </w:r>
      <w:proofErr w:type="spellEnd"/>
      <w:proofErr w:type="gramEnd"/>
      <w:r w:rsidRPr="003B004A">
        <w:rPr>
          <w:sz w:val="24"/>
          <w:szCs w:val="24"/>
        </w:rPr>
        <w:t xml:space="preserve"> G et al. Rational design of genetically stable, live-attenuated poliovirus vaccines of all three serotypes: relevance to poliomyelitis eradication</w:t>
      </w:r>
      <w:r w:rsidRPr="00ED6316">
        <w:rPr>
          <w:sz w:val="24"/>
          <w:szCs w:val="24"/>
        </w:rPr>
        <w:t xml:space="preserve">. </w:t>
      </w:r>
      <w:proofErr w:type="gramStart"/>
      <w:r w:rsidRPr="00ED6316">
        <w:rPr>
          <w:sz w:val="24"/>
          <w:szCs w:val="24"/>
        </w:rPr>
        <w:t xml:space="preserve">J </w:t>
      </w:r>
      <w:proofErr w:type="spellStart"/>
      <w:r w:rsidRPr="00ED6316">
        <w:rPr>
          <w:sz w:val="24"/>
          <w:szCs w:val="24"/>
        </w:rPr>
        <w:t>Virol</w:t>
      </w:r>
      <w:proofErr w:type="spellEnd"/>
      <w:r w:rsidRPr="003B004A">
        <w:rPr>
          <w:sz w:val="24"/>
          <w:szCs w:val="24"/>
        </w:rPr>
        <w:t>.</w:t>
      </w:r>
      <w:proofErr w:type="gramEnd"/>
      <w:r w:rsidRPr="003B004A">
        <w:rPr>
          <w:sz w:val="24"/>
          <w:szCs w:val="24"/>
        </w:rPr>
        <w:t xml:space="preserve"> 2006</w:t>
      </w:r>
      <w:proofErr w:type="gramStart"/>
      <w:r w:rsidRPr="003B004A">
        <w:rPr>
          <w:sz w:val="24"/>
          <w:szCs w:val="24"/>
        </w:rPr>
        <w:t>;80</w:t>
      </w:r>
      <w:proofErr w:type="gramEnd"/>
      <w:r w:rsidRPr="003B004A">
        <w:rPr>
          <w:sz w:val="24"/>
          <w:szCs w:val="24"/>
        </w:rPr>
        <w:t xml:space="preserve">(17):8653-63. </w:t>
      </w:r>
      <w:proofErr w:type="spellStart"/>
      <w:proofErr w:type="gramStart"/>
      <w:r w:rsidRPr="003B004A">
        <w:rPr>
          <w:sz w:val="24"/>
          <w:szCs w:val="24"/>
        </w:rPr>
        <w:t>doi</w:t>
      </w:r>
      <w:proofErr w:type="spellEnd"/>
      <w:proofErr w:type="gramEnd"/>
      <w:r w:rsidRPr="003B004A">
        <w:rPr>
          <w:sz w:val="24"/>
          <w:szCs w:val="24"/>
        </w:rPr>
        <w:t xml:space="preserve">: 10.1128/JVI.00370-06. </w:t>
      </w:r>
    </w:p>
    <w:p w:rsidR="00A21ECD" w:rsidRPr="003B004A" w:rsidRDefault="00A21ECD" w:rsidP="00ED6316">
      <w:pPr>
        <w:rPr>
          <w:sz w:val="24"/>
          <w:szCs w:val="24"/>
        </w:rPr>
      </w:pPr>
      <w:proofErr w:type="spellStart"/>
      <w:r w:rsidRPr="003B004A">
        <w:rPr>
          <w:sz w:val="24"/>
          <w:szCs w:val="24"/>
        </w:rPr>
        <w:t>Knowlson</w:t>
      </w:r>
      <w:proofErr w:type="spellEnd"/>
      <w:r w:rsidRPr="003B004A">
        <w:rPr>
          <w:sz w:val="24"/>
          <w:szCs w:val="24"/>
        </w:rPr>
        <w:t xml:space="preserve"> S, </w:t>
      </w:r>
      <w:proofErr w:type="spellStart"/>
      <w:r w:rsidRPr="003B004A">
        <w:rPr>
          <w:sz w:val="24"/>
          <w:szCs w:val="24"/>
        </w:rPr>
        <w:t>Burlison</w:t>
      </w:r>
      <w:proofErr w:type="spellEnd"/>
      <w:r w:rsidRPr="003B004A">
        <w:rPr>
          <w:sz w:val="24"/>
          <w:szCs w:val="24"/>
        </w:rPr>
        <w:t xml:space="preserve"> J, Giles E, Fox H, Macadam AJ, Minor PD. New Strains Intended for the Production of Inactivated Polio Vaccine at Low-Containment </w:t>
      </w:r>
      <w:proofErr w:type="gramStart"/>
      <w:r w:rsidRPr="003B004A">
        <w:rPr>
          <w:sz w:val="24"/>
          <w:szCs w:val="24"/>
        </w:rPr>
        <w:t>After</w:t>
      </w:r>
      <w:proofErr w:type="gramEnd"/>
      <w:r w:rsidRPr="003B004A">
        <w:rPr>
          <w:sz w:val="24"/>
          <w:szCs w:val="24"/>
        </w:rPr>
        <w:t xml:space="preserve"> Eradication. </w:t>
      </w:r>
      <w:proofErr w:type="spellStart"/>
      <w:r w:rsidRPr="00ED6316">
        <w:rPr>
          <w:sz w:val="24"/>
          <w:szCs w:val="24"/>
        </w:rPr>
        <w:t>PLoS</w:t>
      </w:r>
      <w:proofErr w:type="spellEnd"/>
      <w:r w:rsidRPr="00ED6316">
        <w:rPr>
          <w:sz w:val="24"/>
          <w:szCs w:val="24"/>
        </w:rPr>
        <w:t xml:space="preserve"> </w:t>
      </w:r>
      <w:proofErr w:type="spellStart"/>
      <w:r w:rsidRPr="00ED6316">
        <w:rPr>
          <w:sz w:val="24"/>
          <w:szCs w:val="24"/>
        </w:rPr>
        <w:t>Pathog</w:t>
      </w:r>
      <w:proofErr w:type="spellEnd"/>
      <w:r w:rsidRPr="003B004A">
        <w:rPr>
          <w:sz w:val="24"/>
          <w:szCs w:val="24"/>
        </w:rPr>
        <w:t>. 2015</w:t>
      </w:r>
      <w:proofErr w:type="gramStart"/>
      <w:r w:rsidRPr="003B004A">
        <w:rPr>
          <w:sz w:val="24"/>
          <w:szCs w:val="24"/>
        </w:rPr>
        <w:t>;31</w:t>
      </w:r>
      <w:proofErr w:type="gramEnd"/>
      <w:r w:rsidRPr="003B004A">
        <w:rPr>
          <w:sz w:val="24"/>
          <w:szCs w:val="24"/>
        </w:rPr>
        <w:t xml:space="preserve">;11(12):e1005316. </w:t>
      </w:r>
      <w:proofErr w:type="spellStart"/>
      <w:proofErr w:type="gramStart"/>
      <w:r w:rsidRPr="003B004A">
        <w:rPr>
          <w:sz w:val="24"/>
          <w:szCs w:val="24"/>
        </w:rPr>
        <w:t>doi</w:t>
      </w:r>
      <w:proofErr w:type="spellEnd"/>
      <w:proofErr w:type="gramEnd"/>
      <w:r w:rsidRPr="003B004A">
        <w:rPr>
          <w:sz w:val="24"/>
          <w:szCs w:val="24"/>
        </w:rPr>
        <w:t xml:space="preserve">: 10.1371/journal.ppat.1005316. </w:t>
      </w:r>
    </w:p>
    <w:p w:rsidR="00A21ECD" w:rsidRPr="003B004A" w:rsidRDefault="00A21ECD" w:rsidP="00ED6316">
      <w:pPr>
        <w:rPr>
          <w:sz w:val="24"/>
          <w:szCs w:val="24"/>
        </w:rPr>
      </w:pPr>
      <w:proofErr w:type="spellStart"/>
      <w:proofErr w:type="gramStart"/>
      <w:r w:rsidRPr="003B004A">
        <w:rPr>
          <w:sz w:val="24"/>
          <w:szCs w:val="24"/>
        </w:rPr>
        <w:t>Dowdle</w:t>
      </w:r>
      <w:proofErr w:type="spellEnd"/>
      <w:r w:rsidRPr="003B004A">
        <w:rPr>
          <w:sz w:val="24"/>
          <w:szCs w:val="24"/>
        </w:rPr>
        <w:t xml:space="preserve"> WR, Birmingham ME.</w:t>
      </w:r>
      <w:proofErr w:type="gramEnd"/>
      <w:r w:rsidRPr="003B004A">
        <w:rPr>
          <w:sz w:val="24"/>
          <w:szCs w:val="24"/>
        </w:rPr>
        <w:t xml:space="preserve"> </w:t>
      </w:r>
      <w:proofErr w:type="gramStart"/>
      <w:r w:rsidRPr="003B004A">
        <w:rPr>
          <w:sz w:val="24"/>
          <w:szCs w:val="24"/>
        </w:rPr>
        <w:t>The biologic principles of poliovirus eradication.</w:t>
      </w:r>
      <w:proofErr w:type="gramEnd"/>
      <w:r w:rsidRPr="003B004A">
        <w:rPr>
          <w:sz w:val="24"/>
          <w:szCs w:val="24"/>
        </w:rPr>
        <w:t xml:space="preserve"> </w:t>
      </w:r>
      <w:r w:rsidRPr="00ED6316">
        <w:rPr>
          <w:sz w:val="24"/>
          <w:szCs w:val="24"/>
        </w:rPr>
        <w:t>J Infect Dis</w:t>
      </w:r>
      <w:r w:rsidRPr="003B004A">
        <w:rPr>
          <w:sz w:val="24"/>
          <w:szCs w:val="24"/>
        </w:rPr>
        <w:t>. 1997</w:t>
      </w:r>
      <w:proofErr w:type="gramStart"/>
      <w:r w:rsidRPr="003B004A">
        <w:rPr>
          <w:sz w:val="24"/>
          <w:szCs w:val="24"/>
        </w:rPr>
        <w:t>;175</w:t>
      </w:r>
      <w:proofErr w:type="gramEnd"/>
      <w:r w:rsidRPr="003B004A">
        <w:rPr>
          <w:sz w:val="24"/>
          <w:szCs w:val="24"/>
        </w:rPr>
        <w:t>(suppl. 1):S286-92. doi:10.1093/</w:t>
      </w:r>
      <w:proofErr w:type="spellStart"/>
      <w:r w:rsidRPr="003B004A">
        <w:rPr>
          <w:sz w:val="24"/>
          <w:szCs w:val="24"/>
        </w:rPr>
        <w:t>infdis</w:t>
      </w:r>
      <w:proofErr w:type="spellEnd"/>
      <w:r w:rsidRPr="003B004A">
        <w:rPr>
          <w:sz w:val="24"/>
          <w:szCs w:val="24"/>
        </w:rPr>
        <w:t>/175.Supplement_1.S286</w:t>
      </w:r>
    </w:p>
    <w:p w:rsidR="00A21ECD" w:rsidRPr="003B004A" w:rsidRDefault="00A21ECD" w:rsidP="00A21ECD">
      <w:pPr>
        <w:pStyle w:val="NoSpacing"/>
        <w:jc w:val="left"/>
        <w:rPr>
          <w:rFonts w:asciiTheme="minorHAnsi" w:hAnsiTheme="minorHAnsi"/>
          <w:b/>
          <w:sz w:val="24"/>
          <w:szCs w:val="24"/>
        </w:rPr>
      </w:pPr>
      <w:r w:rsidRPr="003B004A">
        <w:rPr>
          <w:rFonts w:asciiTheme="minorHAnsi" w:hAnsiTheme="minorHAnsi"/>
          <w:b/>
          <w:sz w:val="24"/>
          <w:szCs w:val="24"/>
        </w:rPr>
        <w:t xml:space="preserve">Risk Analysis and containment: </w:t>
      </w:r>
    </w:p>
    <w:p w:rsidR="00A21ECD" w:rsidRPr="003B004A" w:rsidRDefault="00A21ECD" w:rsidP="00ED6316">
      <w:pPr>
        <w:rPr>
          <w:sz w:val="24"/>
          <w:szCs w:val="24"/>
        </w:rPr>
      </w:pPr>
      <w:proofErr w:type="gramStart"/>
      <w:r w:rsidRPr="003B004A">
        <w:rPr>
          <w:sz w:val="24"/>
          <w:szCs w:val="24"/>
        </w:rPr>
        <w:t>Thompson KM. Poliomyelitis and the role of risk analysis in global infectious disease policy and management.</w:t>
      </w:r>
      <w:proofErr w:type="gramEnd"/>
      <w:r w:rsidRPr="003B004A">
        <w:rPr>
          <w:sz w:val="24"/>
          <w:szCs w:val="24"/>
        </w:rPr>
        <w:t xml:space="preserve"> </w:t>
      </w:r>
      <w:r w:rsidRPr="00ED6316">
        <w:rPr>
          <w:sz w:val="24"/>
          <w:szCs w:val="24"/>
        </w:rPr>
        <w:t>Risk Anal</w:t>
      </w:r>
      <w:r w:rsidRPr="003B004A">
        <w:rPr>
          <w:sz w:val="24"/>
          <w:szCs w:val="24"/>
        </w:rPr>
        <w:t>. 2006</w:t>
      </w:r>
      <w:proofErr w:type="gramStart"/>
      <w:r w:rsidRPr="003B004A">
        <w:rPr>
          <w:sz w:val="24"/>
          <w:szCs w:val="24"/>
        </w:rPr>
        <w:t>;26</w:t>
      </w:r>
      <w:proofErr w:type="gramEnd"/>
      <w:r w:rsidRPr="003B004A">
        <w:rPr>
          <w:sz w:val="24"/>
          <w:szCs w:val="24"/>
        </w:rPr>
        <w:t xml:space="preserve">(6):1419-21. </w:t>
      </w:r>
      <w:proofErr w:type="spellStart"/>
      <w:proofErr w:type="gramStart"/>
      <w:r w:rsidRPr="003B004A">
        <w:rPr>
          <w:sz w:val="24"/>
          <w:szCs w:val="24"/>
        </w:rPr>
        <w:t>doi</w:t>
      </w:r>
      <w:proofErr w:type="spellEnd"/>
      <w:proofErr w:type="gramEnd"/>
      <w:r w:rsidRPr="003B004A">
        <w:rPr>
          <w:sz w:val="24"/>
          <w:szCs w:val="24"/>
        </w:rPr>
        <w:t>: 10.1111/j.1539-6924.2006.00853.x.</w:t>
      </w:r>
    </w:p>
    <w:p w:rsidR="00A21ECD" w:rsidRDefault="00A21ECD" w:rsidP="00ED6316">
      <w:pPr>
        <w:rPr>
          <w:sz w:val="24"/>
          <w:szCs w:val="24"/>
        </w:rPr>
      </w:pPr>
      <w:proofErr w:type="spellStart"/>
      <w:r w:rsidRPr="003B004A">
        <w:rPr>
          <w:sz w:val="24"/>
          <w:szCs w:val="24"/>
        </w:rPr>
        <w:t>Dowdle</w:t>
      </w:r>
      <w:proofErr w:type="spellEnd"/>
      <w:r w:rsidRPr="003B004A">
        <w:rPr>
          <w:sz w:val="24"/>
          <w:szCs w:val="24"/>
        </w:rPr>
        <w:t xml:space="preserve"> W, van der </w:t>
      </w:r>
      <w:proofErr w:type="spellStart"/>
      <w:r w:rsidRPr="003B004A">
        <w:rPr>
          <w:sz w:val="24"/>
          <w:szCs w:val="24"/>
        </w:rPr>
        <w:t>Avoort</w:t>
      </w:r>
      <w:proofErr w:type="spellEnd"/>
      <w:r w:rsidRPr="003B004A">
        <w:rPr>
          <w:sz w:val="24"/>
          <w:szCs w:val="24"/>
        </w:rPr>
        <w:t xml:space="preserve"> H, de </w:t>
      </w:r>
      <w:proofErr w:type="spellStart"/>
      <w:r w:rsidRPr="003B004A">
        <w:rPr>
          <w:sz w:val="24"/>
          <w:szCs w:val="24"/>
        </w:rPr>
        <w:t>Gourville</w:t>
      </w:r>
      <w:proofErr w:type="spellEnd"/>
      <w:r w:rsidRPr="003B004A">
        <w:rPr>
          <w:sz w:val="24"/>
          <w:szCs w:val="24"/>
        </w:rPr>
        <w:t xml:space="preserve"> E, </w:t>
      </w:r>
      <w:proofErr w:type="spellStart"/>
      <w:r w:rsidRPr="003B004A">
        <w:rPr>
          <w:sz w:val="24"/>
          <w:szCs w:val="24"/>
        </w:rPr>
        <w:t>Delpeyroux</w:t>
      </w:r>
      <w:proofErr w:type="spellEnd"/>
      <w:r w:rsidRPr="003B004A">
        <w:rPr>
          <w:sz w:val="24"/>
          <w:szCs w:val="24"/>
        </w:rPr>
        <w:t xml:space="preserve"> F, </w:t>
      </w:r>
      <w:proofErr w:type="spellStart"/>
      <w:r w:rsidRPr="003B004A">
        <w:rPr>
          <w:sz w:val="24"/>
          <w:szCs w:val="24"/>
        </w:rPr>
        <w:t>Desphande</w:t>
      </w:r>
      <w:proofErr w:type="spellEnd"/>
      <w:r w:rsidRPr="003B004A">
        <w:rPr>
          <w:sz w:val="24"/>
          <w:szCs w:val="24"/>
        </w:rPr>
        <w:t xml:space="preserve"> J, </w:t>
      </w:r>
      <w:proofErr w:type="spellStart"/>
      <w:r w:rsidRPr="003B004A">
        <w:rPr>
          <w:sz w:val="24"/>
          <w:szCs w:val="24"/>
        </w:rPr>
        <w:t>Hovi</w:t>
      </w:r>
      <w:proofErr w:type="spellEnd"/>
      <w:r w:rsidRPr="003B004A">
        <w:rPr>
          <w:sz w:val="24"/>
          <w:szCs w:val="24"/>
        </w:rPr>
        <w:t xml:space="preserve"> T et al. Containment of polioviruses after eradication and OPV cessation: characterizing risks to improve management. </w:t>
      </w:r>
      <w:r w:rsidRPr="00ED6316">
        <w:rPr>
          <w:sz w:val="24"/>
          <w:szCs w:val="24"/>
        </w:rPr>
        <w:t>Risk Anal</w:t>
      </w:r>
      <w:r w:rsidRPr="003B004A">
        <w:rPr>
          <w:sz w:val="24"/>
          <w:szCs w:val="24"/>
        </w:rPr>
        <w:t>. 2006</w:t>
      </w:r>
      <w:proofErr w:type="gramStart"/>
      <w:r w:rsidRPr="003B004A">
        <w:rPr>
          <w:sz w:val="24"/>
          <w:szCs w:val="24"/>
        </w:rPr>
        <w:t>;26</w:t>
      </w:r>
      <w:proofErr w:type="gramEnd"/>
      <w:r w:rsidRPr="003B004A">
        <w:rPr>
          <w:sz w:val="24"/>
          <w:szCs w:val="24"/>
        </w:rPr>
        <w:t xml:space="preserve">(6):1449-69. </w:t>
      </w:r>
      <w:proofErr w:type="spellStart"/>
      <w:proofErr w:type="gramStart"/>
      <w:r w:rsidRPr="003B004A">
        <w:rPr>
          <w:sz w:val="24"/>
          <w:szCs w:val="24"/>
        </w:rPr>
        <w:t>doi</w:t>
      </w:r>
      <w:proofErr w:type="spellEnd"/>
      <w:proofErr w:type="gramEnd"/>
      <w:r w:rsidRPr="003B004A">
        <w:rPr>
          <w:sz w:val="24"/>
          <w:szCs w:val="24"/>
        </w:rPr>
        <w:t>: 10.1111/j.1539-</w:t>
      </w:r>
    </w:p>
    <w:p w:rsidR="006A513C" w:rsidRPr="003E11BD" w:rsidRDefault="007F2A86" w:rsidP="00ED6316">
      <w:pPr>
        <w:rPr>
          <w:sz w:val="24"/>
          <w:szCs w:val="24"/>
        </w:rPr>
      </w:pPr>
      <w:r w:rsidRPr="00ED6316">
        <w:rPr>
          <w:sz w:val="24"/>
          <w:szCs w:val="24"/>
        </w:rPr>
        <w:t xml:space="preserve">Fine, PEM, Ritchie, S. (2006) Perspective: Determinants of the Severity of Poliovirus Outbreaks in the Post Eradication Era. </w:t>
      </w:r>
      <w:proofErr w:type="gramStart"/>
      <w:r w:rsidRPr="00ED6316">
        <w:rPr>
          <w:sz w:val="24"/>
          <w:szCs w:val="24"/>
        </w:rPr>
        <w:t>Risk Analysis, 26, 1533-1540.</w:t>
      </w:r>
      <w:r w:rsidR="0091237A" w:rsidRPr="00ED6316">
        <w:rPr>
          <w:sz w:val="24"/>
          <w:szCs w:val="24"/>
        </w:rPr>
        <w:t xml:space="preserve">Mach, O, et al (2014) Prevalence of </w:t>
      </w:r>
      <w:r w:rsidR="0091237A" w:rsidRPr="00ED6316">
        <w:rPr>
          <w:sz w:val="24"/>
          <w:szCs w:val="24"/>
        </w:rPr>
        <w:lastRenderedPageBreak/>
        <w:t>asymptomatic Poliovirus infection in older children and adults in Northern India: Analysis of contact and enhanced community surveillance, 2009.</w:t>
      </w:r>
      <w:proofErr w:type="gramEnd"/>
      <w:r w:rsidR="0091237A" w:rsidRPr="00ED6316">
        <w:rPr>
          <w:sz w:val="24"/>
          <w:szCs w:val="24"/>
        </w:rPr>
        <w:t xml:space="preserve"> J. Inf. Dis, 210</w:t>
      </w:r>
      <w:r w:rsidR="005A6903" w:rsidRPr="00ED6316">
        <w:rPr>
          <w:sz w:val="24"/>
          <w:szCs w:val="24"/>
        </w:rPr>
        <w:t>, 252-258</w:t>
      </w:r>
    </w:p>
    <w:sectPr w:rsidR="006A513C" w:rsidRPr="003E11B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B7C" w:rsidRDefault="00D14B7C" w:rsidP="00F96AD6">
      <w:pPr>
        <w:spacing w:after="0" w:line="240" w:lineRule="auto"/>
      </w:pPr>
      <w:r>
        <w:separator/>
      </w:r>
    </w:p>
  </w:endnote>
  <w:endnote w:type="continuationSeparator" w:id="0">
    <w:p w:rsidR="00D14B7C" w:rsidRDefault="00D14B7C" w:rsidP="00F96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Stempel Garamond">
    <w:altName w:val="Garamond"/>
    <w:panose1 w:val="00000000000000000000"/>
    <w:charset w:val="00"/>
    <w:family w:val="roman"/>
    <w:notTrueType/>
    <w:pitch w:val="default"/>
    <w:sig w:usb0="00000003" w:usb1="00000000" w:usb2="00000000" w:usb3="00000000" w:csb0="00000001" w:csb1="00000000"/>
  </w:font>
  <w:font w:name="StempelGaramond Roman">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271" w:rsidRDefault="00D232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27557"/>
      <w:docPartObj>
        <w:docPartGallery w:val="Page Numbers (Bottom of Page)"/>
        <w:docPartUnique/>
      </w:docPartObj>
    </w:sdtPr>
    <w:sdtEndPr>
      <w:rPr>
        <w:noProof/>
      </w:rPr>
    </w:sdtEndPr>
    <w:sdtContent>
      <w:p w:rsidR="00CE7D50" w:rsidRDefault="00CE7D50">
        <w:pPr>
          <w:pStyle w:val="Footer"/>
          <w:jc w:val="center"/>
        </w:pPr>
        <w:r>
          <w:fldChar w:fldCharType="begin"/>
        </w:r>
        <w:r>
          <w:instrText xml:space="preserve"> PAGE   \* MERGEFORMAT </w:instrText>
        </w:r>
        <w:r>
          <w:fldChar w:fldCharType="separate"/>
        </w:r>
        <w:r w:rsidR="004959DC">
          <w:rPr>
            <w:noProof/>
          </w:rPr>
          <w:t>1</w:t>
        </w:r>
        <w:r>
          <w:rPr>
            <w:noProof/>
          </w:rPr>
          <w:fldChar w:fldCharType="end"/>
        </w:r>
      </w:p>
    </w:sdtContent>
  </w:sdt>
  <w:p w:rsidR="00CE7D50" w:rsidRDefault="00CE7D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271" w:rsidRDefault="00D2327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935050"/>
      <w:docPartObj>
        <w:docPartGallery w:val="Page Numbers (Bottom of Page)"/>
        <w:docPartUnique/>
      </w:docPartObj>
    </w:sdtPr>
    <w:sdtEndPr>
      <w:rPr>
        <w:noProof/>
      </w:rPr>
    </w:sdtEndPr>
    <w:sdtContent>
      <w:p w:rsidR="00CE7D50" w:rsidRDefault="00CE7D50">
        <w:pPr>
          <w:pStyle w:val="Footer"/>
          <w:jc w:val="right"/>
        </w:pPr>
        <w:r>
          <w:fldChar w:fldCharType="begin"/>
        </w:r>
        <w:r>
          <w:instrText xml:space="preserve"> PAGE   \* MERGEFORMAT </w:instrText>
        </w:r>
        <w:r>
          <w:fldChar w:fldCharType="separate"/>
        </w:r>
        <w:r w:rsidR="00730FBC">
          <w:rPr>
            <w:noProof/>
          </w:rPr>
          <w:t>41</w:t>
        </w:r>
        <w:r>
          <w:rPr>
            <w:noProof/>
          </w:rPr>
          <w:fldChar w:fldCharType="end"/>
        </w:r>
      </w:p>
    </w:sdtContent>
  </w:sdt>
  <w:p w:rsidR="00CE7D50" w:rsidRDefault="00CE7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B7C" w:rsidRDefault="00D14B7C" w:rsidP="00F96AD6">
      <w:pPr>
        <w:spacing w:after="0" w:line="240" w:lineRule="auto"/>
      </w:pPr>
      <w:r>
        <w:separator/>
      </w:r>
    </w:p>
  </w:footnote>
  <w:footnote w:type="continuationSeparator" w:id="0">
    <w:p w:rsidR="00D14B7C" w:rsidRDefault="00D14B7C" w:rsidP="00F96AD6">
      <w:pPr>
        <w:spacing w:after="0" w:line="240" w:lineRule="auto"/>
      </w:pPr>
      <w:r>
        <w:continuationSeparator/>
      </w:r>
    </w:p>
  </w:footnote>
  <w:footnote w:id="1">
    <w:p w:rsidR="00CE7D50" w:rsidRPr="00B85BC4" w:rsidRDefault="00CE7D50">
      <w:pPr>
        <w:pStyle w:val="FootnoteText"/>
        <w:rPr>
          <w:lang w:val="fr-CH"/>
        </w:rPr>
      </w:pPr>
      <w:r>
        <w:rPr>
          <w:rStyle w:val="FootnoteReference"/>
        </w:rPr>
        <w:footnoteRef/>
      </w:r>
      <w:r>
        <w:t xml:space="preserve"> </w:t>
      </w:r>
      <w:r w:rsidRPr="002D4ABB">
        <w:rPr>
          <w:rFonts w:ascii="Wingdings" w:hAnsi="Wingdings"/>
          <w:sz w:val="18"/>
          <w:szCs w:val="18"/>
        </w:rPr>
        <w:t></w:t>
      </w:r>
      <w:r w:rsidRPr="002D4ABB">
        <w:rPr>
          <w:rFonts w:cs="Arial"/>
          <w:sz w:val="18"/>
          <w:szCs w:val="18"/>
        </w:rPr>
        <w:t xml:space="preserve">: </w:t>
      </w:r>
      <w:r w:rsidRPr="002D4ABB">
        <w:rPr>
          <w:rFonts w:cs="Arial"/>
          <w:sz w:val="18"/>
          <w:szCs w:val="22"/>
        </w:rPr>
        <w:t xml:space="preserve">must comply with the risk mitigation strategy; </w:t>
      </w:r>
      <w:proofErr w:type="gramStart"/>
      <w:r w:rsidRPr="002D4ABB">
        <w:rPr>
          <w:rFonts w:cs="Arial"/>
          <w:sz w:val="18"/>
          <w:szCs w:val="22"/>
        </w:rPr>
        <w:t>n/a</w:t>
      </w:r>
      <w:proofErr w:type="gramEnd"/>
      <w:r w:rsidRPr="002D4ABB">
        <w:rPr>
          <w:rFonts w:cs="Arial"/>
          <w:sz w:val="18"/>
          <w:szCs w:val="22"/>
        </w:rPr>
        <w:t>: not applicable.</w:t>
      </w:r>
    </w:p>
  </w:footnote>
  <w:footnote w:id="2">
    <w:p w:rsidR="00CE7D50" w:rsidRPr="00B85BC4" w:rsidRDefault="00CE7D50">
      <w:pPr>
        <w:pStyle w:val="FootnoteText"/>
        <w:rPr>
          <w:lang w:val="fr-CH"/>
        </w:rPr>
      </w:pPr>
      <w:r>
        <w:rPr>
          <w:rStyle w:val="FootnoteReference"/>
        </w:rPr>
        <w:footnoteRef/>
      </w:r>
      <w:r>
        <w:t xml:space="preserve"> </w:t>
      </w:r>
      <w:r w:rsidRPr="002D4ABB">
        <w:rPr>
          <w:rFonts w:cs="Arial"/>
          <w:sz w:val="18"/>
          <w:szCs w:val="22"/>
        </w:rPr>
        <w:t>For short-term retention only, while the final disposition of the collection is being considered. If “stored” samples are to be handled, the risk mitigation strategies for Level 1, 2, or 3 must be applied as appropriate for the sample type and procedure (Table 1).</w:t>
      </w:r>
    </w:p>
  </w:footnote>
  <w:footnote w:id="3">
    <w:p w:rsidR="00CE7D50" w:rsidRPr="00757F1F" w:rsidRDefault="00CE7D50" w:rsidP="00887E4E">
      <w:pPr>
        <w:pStyle w:val="FootnoteText"/>
        <w:rPr>
          <w:sz w:val="18"/>
          <w:lang w:val="en-GB"/>
        </w:rPr>
      </w:pPr>
      <w:r>
        <w:rPr>
          <w:rStyle w:val="FootnoteReference"/>
        </w:rPr>
        <w:footnoteRef/>
      </w:r>
      <w:r>
        <w:t xml:space="preserve"> </w:t>
      </w:r>
      <w:r w:rsidRPr="00757F1F">
        <w:rPr>
          <w:sz w:val="18"/>
        </w:rPr>
        <w:t>Old World Monkeys</w:t>
      </w:r>
    </w:p>
  </w:footnote>
  <w:footnote w:id="4">
    <w:p w:rsidR="00CE7D50" w:rsidRPr="00C453E7" w:rsidRDefault="00CE7D50" w:rsidP="00887E4E">
      <w:pPr>
        <w:pStyle w:val="FootnoteText"/>
        <w:rPr>
          <w:lang w:val="en-GB"/>
        </w:rPr>
      </w:pPr>
      <w:r>
        <w:rPr>
          <w:rStyle w:val="FootnoteReference"/>
        </w:rPr>
        <w:footnoteRef/>
      </w:r>
      <w:r>
        <w:t xml:space="preserve"> </w:t>
      </w:r>
      <w:r w:rsidRPr="00757F1F">
        <w:rPr>
          <w:sz w:val="18"/>
        </w:rPr>
        <w:t>Transgenic mouse cell lines</w:t>
      </w:r>
    </w:p>
  </w:footnote>
  <w:footnote w:id="5">
    <w:p w:rsidR="00CE7D50" w:rsidRPr="00777606" w:rsidRDefault="00CE7D50" w:rsidP="001439D1">
      <w:pPr>
        <w:pStyle w:val="FootnoteText"/>
        <w:rPr>
          <w:lang w:val="en-GB"/>
        </w:rPr>
      </w:pPr>
      <w:r>
        <w:rPr>
          <w:rStyle w:val="FootnoteReference"/>
        </w:rPr>
        <w:footnoteRef/>
      </w:r>
      <w:r>
        <w:t xml:space="preserve"> </w:t>
      </w:r>
      <w:r w:rsidRPr="00757F1F">
        <w:rPr>
          <w:sz w:val="18"/>
        </w:rPr>
        <w:t>Calculated as</w:t>
      </w:r>
      <w:r>
        <w:rPr>
          <w:sz w:val="18"/>
        </w:rPr>
        <w:t xml:space="preserve"> the sum of</w:t>
      </w:r>
      <w:r w:rsidRPr="00757F1F">
        <w:rPr>
          <w:sz w:val="18"/>
        </w:rPr>
        <w:t xml:space="preserve"> </w:t>
      </w:r>
      <w:r>
        <w:rPr>
          <w:sz w:val="18"/>
        </w:rPr>
        <w:t>194 Member States, 4 territories, 1 dependent territory, 15 overseas territories, 2</w:t>
      </w:r>
      <w:r w:rsidRPr="00757F1F">
        <w:rPr>
          <w:sz w:val="18"/>
        </w:rPr>
        <w:t xml:space="preserve"> special administrative regions, </w:t>
      </w:r>
      <w:r>
        <w:rPr>
          <w:sz w:val="18"/>
        </w:rPr>
        <w:t>4 constituent countries of other countries, 1</w:t>
      </w:r>
      <w:r w:rsidRPr="00757F1F">
        <w:rPr>
          <w:sz w:val="18"/>
        </w:rPr>
        <w:t xml:space="preserve"> </w:t>
      </w:r>
      <w:r>
        <w:rPr>
          <w:sz w:val="18"/>
        </w:rPr>
        <w:t>overseas collectivity</w:t>
      </w:r>
      <w:r w:rsidRPr="00757F1F">
        <w:rPr>
          <w:sz w:val="18"/>
        </w:rPr>
        <w:t xml:space="preserve"> </w:t>
      </w:r>
      <w:r>
        <w:rPr>
          <w:sz w:val="18"/>
        </w:rPr>
        <w:t xml:space="preserve">and 2 countries with WHO observer status, </w:t>
      </w:r>
      <w:r w:rsidRPr="00757F1F">
        <w:rPr>
          <w:sz w:val="18"/>
        </w:rPr>
        <w:t xml:space="preserve">that may have different routine immunization and SIA schedules, and </w:t>
      </w:r>
      <w:r>
        <w:rPr>
          <w:sz w:val="18"/>
        </w:rPr>
        <w:t xml:space="preserve">different </w:t>
      </w:r>
      <w:r w:rsidRPr="00757F1F">
        <w:rPr>
          <w:sz w:val="18"/>
        </w:rPr>
        <w:t xml:space="preserve">epidemiological situations as a result of their geographic location than the sovereign </w:t>
      </w:r>
      <w:r>
        <w:rPr>
          <w:sz w:val="18"/>
        </w:rPr>
        <w:t>states that administer them.</w:t>
      </w:r>
    </w:p>
  </w:footnote>
  <w:footnote w:id="6">
    <w:p w:rsidR="00CE7D50" w:rsidRPr="00C47CB6" w:rsidRDefault="00CE7D50" w:rsidP="00547638">
      <w:pPr>
        <w:pStyle w:val="FootnoteText"/>
        <w:rPr>
          <w:rFonts w:asciiTheme="minorHAnsi" w:hAnsiTheme="minorHAnsi"/>
          <w:sz w:val="21"/>
          <w:szCs w:val="21"/>
          <w:lang w:val="en-GB"/>
        </w:rPr>
      </w:pPr>
      <w:r w:rsidRPr="00C47CB6">
        <w:rPr>
          <w:rStyle w:val="FootnoteReference"/>
          <w:rFonts w:asciiTheme="minorHAnsi" w:hAnsiTheme="minorHAnsi"/>
          <w:sz w:val="21"/>
          <w:szCs w:val="21"/>
        </w:rPr>
        <w:footnoteRef/>
      </w:r>
      <w:r w:rsidRPr="00C47CB6">
        <w:rPr>
          <w:rFonts w:asciiTheme="minorHAnsi" w:hAnsiTheme="minorHAnsi"/>
          <w:sz w:val="21"/>
          <w:szCs w:val="21"/>
        </w:rPr>
        <w:t xml:space="preserve"> </w:t>
      </w:r>
      <w:proofErr w:type="gramStart"/>
      <w:r w:rsidRPr="00C47CB6">
        <w:rPr>
          <w:rFonts w:asciiTheme="minorHAnsi" w:hAnsiTheme="minorHAnsi"/>
          <w:sz w:val="21"/>
          <w:szCs w:val="21"/>
        </w:rPr>
        <w:t>Data available at WHO HQ including WHO Polio Information System (POLIS).</w:t>
      </w:r>
      <w:proofErr w:type="gramEnd"/>
      <w:r w:rsidRPr="00C47CB6">
        <w:rPr>
          <w:rFonts w:asciiTheme="minorHAnsi" w:hAnsiTheme="minorHAnsi"/>
          <w:sz w:val="21"/>
          <w:szCs w:val="21"/>
        </w:rPr>
        <w:t xml:space="preserve"> Data sources for WPV2 virus may include: AFP case, environmental sampling, enterovirus surveillance or other sources. Data sources for cVDPV2 virus include AFP case or environmental sampling.</w:t>
      </w:r>
      <w:r>
        <w:rPr>
          <w:rFonts w:asciiTheme="minorHAnsi" w:hAnsiTheme="minorHAnsi"/>
          <w:sz w:val="21"/>
          <w:szCs w:val="21"/>
        </w:rPr>
        <w:t xml:space="preserve"> </w:t>
      </w:r>
    </w:p>
  </w:footnote>
  <w:footnote w:id="7">
    <w:p w:rsidR="00CE7D50" w:rsidRPr="00C47CB6" w:rsidRDefault="00CE7D50" w:rsidP="00547638">
      <w:pPr>
        <w:pStyle w:val="FootnoteText"/>
        <w:rPr>
          <w:rFonts w:asciiTheme="minorHAnsi" w:hAnsiTheme="minorHAnsi"/>
          <w:sz w:val="21"/>
          <w:szCs w:val="21"/>
          <w:lang w:val="en-GB"/>
        </w:rPr>
      </w:pPr>
      <w:r w:rsidRPr="00C47CB6">
        <w:rPr>
          <w:rStyle w:val="FootnoteReference"/>
          <w:rFonts w:asciiTheme="minorHAnsi" w:hAnsiTheme="minorHAnsi"/>
          <w:sz w:val="21"/>
          <w:szCs w:val="21"/>
        </w:rPr>
        <w:footnoteRef/>
      </w:r>
      <w:r w:rsidRPr="00C47CB6">
        <w:rPr>
          <w:rFonts w:asciiTheme="minorHAnsi" w:hAnsiTheme="minorHAnsi"/>
          <w:sz w:val="21"/>
          <w:szCs w:val="21"/>
        </w:rPr>
        <w:t xml:space="preserve"> WHO/UNICEF Joint Reporting form</w:t>
      </w:r>
    </w:p>
  </w:footnote>
  <w:footnote w:id="8">
    <w:p w:rsidR="00CE7D50" w:rsidRPr="00341E31" w:rsidRDefault="00CE7D50" w:rsidP="00547638">
      <w:pPr>
        <w:pStyle w:val="FootnoteText"/>
        <w:rPr>
          <w:lang w:val="en-GB"/>
        </w:rPr>
      </w:pPr>
      <w:r w:rsidRPr="00C47CB6">
        <w:rPr>
          <w:rStyle w:val="FootnoteReference"/>
          <w:rFonts w:asciiTheme="minorHAnsi" w:hAnsiTheme="minorHAnsi"/>
          <w:sz w:val="21"/>
          <w:szCs w:val="21"/>
        </w:rPr>
        <w:footnoteRef/>
      </w:r>
      <w:r w:rsidRPr="00C47CB6">
        <w:rPr>
          <w:rFonts w:asciiTheme="minorHAnsi" w:hAnsiTheme="minorHAnsi"/>
          <w:sz w:val="21"/>
          <w:szCs w:val="21"/>
        </w:rPr>
        <w:t xml:space="preserve"> WHO Polio - Supplementary Immunization Activity (POLSIA)  on Immunization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271" w:rsidRDefault="00D232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069659"/>
      <w:docPartObj>
        <w:docPartGallery w:val="Watermarks"/>
        <w:docPartUnique/>
      </w:docPartObj>
    </w:sdtPr>
    <w:sdtEndPr/>
    <w:sdtContent>
      <w:p w:rsidR="00CE7D50" w:rsidRDefault="00D14B7C" w:rsidP="00697C23">
        <w:pPr>
          <w:pStyle w:val="Header"/>
          <w:tabs>
            <w:tab w:val="clear" w:pos="4680"/>
            <w:tab w:val="clear" w:pos="9360"/>
            <w:tab w:val="decimal" w:pos="10632"/>
          </w:tabs>
          <w:jc w:val="both"/>
        </w:pPr>
        <w:r>
          <w:rPr>
            <w:noProof/>
            <w:lang w:eastAsia="zh-TW"/>
          </w:rPr>
          <w:pict w14:anchorId="196F1B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271" w:rsidRDefault="00D232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50" w:rsidRDefault="00CE7D50" w:rsidP="00697C23">
    <w:pPr>
      <w:pStyle w:val="Header"/>
      <w:tabs>
        <w:tab w:val="clear" w:pos="4680"/>
        <w:tab w:val="clear" w:pos="9360"/>
        <w:tab w:val="decimal" w:pos="10632"/>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7CF3"/>
    <w:multiLevelType w:val="hybridMultilevel"/>
    <w:tmpl w:val="A1E67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C3237"/>
    <w:multiLevelType w:val="hybridMultilevel"/>
    <w:tmpl w:val="A2A40EB2"/>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75643B"/>
    <w:multiLevelType w:val="hybridMultilevel"/>
    <w:tmpl w:val="01F8F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882AB0"/>
    <w:multiLevelType w:val="hybridMultilevel"/>
    <w:tmpl w:val="90C8AA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257C0F"/>
    <w:multiLevelType w:val="hybridMultilevel"/>
    <w:tmpl w:val="448E694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9A72007"/>
    <w:multiLevelType w:val="hybridMultilevel"/>
    <w:tmpl w:val="E96ED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4C10D1F"/>
    <w:multiLevelType w:val="hybridMultilevel"/>
    <w:tmpl w:val="996E7FEA"/>
    <w:lvl w:ilvl="0" w:tplc="E67220F4">
      <w:start w:val="1"/>
      <w:numFmt w:val="decimal"/>
      <w:lvlText w:val="%1."/>
      <w:lvlJc w:val="left"/>
      <w:pPr>
        <w:ind w:left="900" w:hanging="360"/>
      </w:pPr>
      <w:rPr>
        <w:strike w:val="0"/>
      </w:rPr>
    </w:lvl>
    <w:lvl w:ilvl="1" w:tplc="D34A3B3E">
      <w:start w:val="1"/>
      <w:numFmt w:val="lowerLetter"/>
      <w:lvlText w:val="%2."/>
      <w:lvlJc w:val="left"/>
      <w:pPr>
        <w:ind w:left="1620" w:hanging="360"/>
      </w:pPr>
      <w:rPr>
        <w:strike w:val="0"/>
      </w:r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7">
    <w:nsid w:val="35B765AE"/>
    <w:multiLevelType w:val="hybridMultilevel"/>
    <w:tmpl w:val="3522C4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6551C1"/>
    <w:multiLevelType w:val="hybridMultilevel"/>
    <w:tmpl w:val="24AE9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0650AB"/>
    <w:multiLevelType w:val="hybridMultilevel"/>
    <w:tmpl w:val="ED927C08"/>
    <w:lvl w:ilvl="0" w:tplc="08090019">
      <w:start w:val="1"/>
      <w:numFmt w:val="lowerLetter"/>
      <w:lvlText w:val="%1."/>
      <w:lvlJc w:val="left"/>
      <w:pPr>
        <w:ind w:left="1440" w:hanging="360"/>
      </w:pPr>
    </w:lvl>
    <w:lvl w:ilvl="1" w:tplc="C8FE44B4">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B7C3E06"/>
    <w:multiLevelType w:val="hybridMultilevel"/>
    <w:tmpl w:val="636202E0"/>
    <w:lvl w:ilvl="0" w:tplc="0809000F">
      <w:start w:val="1"/>
      <w:numFmt w:val="decimal"/>
      <w:lvlText w:val="%1."/>
      <w:lvlJc w:val="left"/>
      <w:pPr>
        <w:ind w:left="720" w:hanging="360"/>
      </w:pPr>
    </w:lvl>
    <w:lvl w:ilvl="1" w:tplc="2366505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297B55"/>
    <w:multiLevelType w:val="hybridMultilevel"/>
    <w:tmpl w:val="8A8EE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83773E"/>
    <w:multiLevelType w:val="hybridMultilevel"/>
    <w:tmpl w:val="61AC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F8208D"/>
    <w:multiLevelType w:val="hybridMultilevel"/>
    <w:tmpl w:val="F12247A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F6371A"/>
    <w:multiLevelType w:val="hybridMultilevel"/>
    <w:tmpl w:val="18CEE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E86132"/>
    <w:multiLevelType w:val="hybridMultilevel"/>
    <w:tmpl w:val="EBA22F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CC6AED"/>
    <w:multiLevelType w:val="multilevel"/>
    <w:tmpl w:val="ABC08D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65A533C8"/>
    <w:multiLevelType w:val="hybridMultilevel"/>
    <w:tmpl w:val="233613B4"/>
    <w:lvl w:ilvl="0" w:tplc="B428D2C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59223E6"/>
    <w:multiLevelType w:val="hybridMultilevel"/>
    <w:tmpl w:val="90C8AAB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E0677C7"/>
    <w:multiLevelType w:val="hybridMultilevel"/>
    <w:tmpl w:val="A5C86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5"/>
  </w:num>
  <w:num w:numId="4">
    <w:abstractNumId w:val="8"/>
  </w:num>
  <w:num w:numId="5">
    <w:abstractNumId w:val="6"/>
  </w:num>
  <w:num w:numId="6">
    <w:abstractNumId w:val="3"/>
  </w:num>
  <w:num w:numId="7">
    <w:abstractNumId w:val="10"/>
  </w:num>
  <w:num w:numId="8">
    <w:abstractNumId w:val="9"/>
  </w:num>
  <w:num w:numId="9">
    <w:abstractNumId w:val="4"/>
  </w:num>
  <w:num w:numId="10">
    <w:abstractNumId w:val="18"/>
  </w:num>
  <w:num w:numId="11">
    <w:abstractNumId w:val="13"/>
  </w:num>
  <w:num w:numId="12">
    <w:abstractNumId w:val="12"/>
  </w:num>
  <w:num w:numId="13">
    <w:abstractNumId w:val="17"/>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7"/>
  </w:num>
  <w:num w:numId="29">
    <w:abstractNumId w:val="11"/>
  </w:num>
  <w:num w:numId="30">
    <w:abstractNumId w:val="0"/>
  </w:num>
  <w:num w:numId="31">
    <w:abstractNumId w:val="19"/>
  </w:num>
  <w:num w:numId="3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B3D"/>
    <w:rsid w:val="0000164D"/>
    <w:rsid w:val="000017BA"/>
    <w:rsid w:val="00001EA8"/>
    <w:rsid w:val="0000481F"/>
    <w:rsid w:val="000109C4"/>
    <w:rsid w:val="00010ED3"/>
    <w:rsid w:val="00022617"/>
    <w:rsid w:val="0002485D"/>
    <w:rsid w:val="000271F1"/>
    <w:rsid w:val="0003407A"/>
    <w:rsid w:val="000358B8"/>
    <w:rsid w:val="000401FB"/>
    <w:rsid w:val="00042437"/>
    <w:rsid w:val="00042FC8"/>
    <w:rsid w:val="00044BDB"/>
    <w:rsid w:val="0006293E"/>
    <w:rsid w:val="0006590F"/>
    <w:rsid w:val="00065973"/>
    <w:rsid w:val="00067F51"/>
    <w:rsid w:val="00073662"/>
    <w:rsid w:val="00073B0D"/>
    <w:rsid w:val="000761FD"/>
    <w:rsid w:val="00082736"/>
    <w:rsid w:val="000918DB"/>
    <w:rsid w:val="00091A7B"/>
    <w:rsid w:val="00092976"/>
    <w:rsid w:val="00092F4B"/>
    <w:rsid w:val="000958DD"/>
    <w:rsid w:val="0009596C"/>
    <w:rsid w:val="00097A6B"/>
    <w:rsid w:val="000A4B84"/>
    <w:rsid w:val="000A7C74"/>
    <w:rsid w:val="000B55A7"/>
    <w:rsid w:val="000B6EE3"/>
    <w:rsid w:val="000B72D0"/>
    <w:rsid w:val="000B777F"/>
    <w:rsid w:val="000C0639"/>
    <w:rsid w:val="000D0181"/>
    <w:rsid w:val="000D7117"/>
    <w:rsid w:val="000E0DBF"/>
    <w:rsid w:val="000E4F20"/>
    <w:rsid w:val="000E5249"/>
    <w:rsid w:val="000E5702"/>
    <w:rsid w:val="000E7430"/>
    <w:rsid w:val="000F03B6"/>
    <w:rsid w:val="000F1F7A"/>
    <w:rsid w:val="000F4C14"/>
    <w:rsid w:val="000F4E33"/>
    <w:rsid w:val="000F7550"/>
    <w:rsid w:val="00100903"/>
    <w:rsid w:val="0010237C"/>
    <w:rsid w:val="00102A7F"/>
    <w:rsid w:val="001077F4"/>
    <w:rsid w:val="00107CC7"/>
    <w:rsid w:val="00111EC0"/>
    <w:rsid w:val="00114DE4"/>
    <w:rsid w:val="00124D0C"/>
    <w:rsid w:val="001266F7"/>
    <w:rsid w:val="00131EA2"/>
    <w:rsid w:val="00132D1F"/>
    <w:rsid w:val="00135AB0"/>
    <w:rsid w:val="00136ED8"/>
    <w:rsid w:val="00140A9A"/>
    <w:rsid w:val="00141018"/>
    <w:rsid w:val="00141333"/>
    <w:rsid w:val="00142A24"/>
    <w:rsid w:val="001439D1"/>
    <w:rsid w:val="0014468C"/>
    <w:rsid w:val="001454E6"/>
    <w:rsid w:val="00145FFF"/>
    <w:rsid w:val="001463B3"/>
    <w:rsid w:val="00153247"/>
    <w:rsid w:val="00162BEF"/>
    <w:rsid w:val="00163899"/>
    <w:rsid w:val="00165005"/>
    <w:rsid w:val="00165531"/>
    <w:rsid w:val="00170F95"/>
    <w:rsid w:val="001734EB"/>
    <w:rsid w:val="00173644"/>
    <w:rsid w:val="0017459B"/>
    <w:rsid w:val="0017489F"/>
    <w:rsid w:val="001804AD"/>
    <w:rsid w:val="00181EE5"/>
    <w:rsid w:val="001853AB"/>
    <w:rsid w:val="00186AD4"/>
    <w:rsid w:val="00191A8D"/>
    <w:rsid w:val="00193B06"/>
    <w:rsid w:val="00195B81"/>
    <w:rsid w:val="001A04D6"/>
    <w:rsid w:val="001A09A6"/>
    <w:rsid w:val="001A15E8"/>
    <w:rsid w:val="001B0436"/>
    <w:rsid w:val="001B5188"/>
    <w:rsid w:val="001B5B0F"/>
    <w:rsid w:val="001C01C9"/>
    <w:rsid w:val="001C4EBE"/>
    <w:rsid w:val="001C6838"/>
    <w:rsid w:val="001D05E9"/>
    <w:rsid w:val="001D1389"/>
    <w:rsid w:val="001E1521"/>
    <w:rsid w:val="001E7286"/>
    <w:rsid w:val="001F1ABF"/>
    <w:rsid w:val="001F22F9"/>
    <w:rsid w:val="00204FD4"/>
    <w:rsid w:val="002056DE"/>
    <w:rsid w:val="00205CD4"/>
    <w:rsid w:val="0021568D"/>
    <w:rsid w:val="002167D9"/>
    <w:rsid w:val="00217BF9"/>
    <w:rsid w:val="002222A8"/>
    <w:rsid w:val="00227816"/>
    <w:rsid w:val="002303B0"/>
    <w:rsid w:val="00231583"/>
    <w:rsid w:val="0023488D"/>
    <w:rsid w:val="00234D18"/>
    <w:rsid w:val="00236875"/>
    <w:rsid w:val="002379FB"/>
    <w:rsid w:val="0024073D"/>
    <w:rsid w:val="00240EE4"/>
    <w:rsid w:val="0024141D"/>
    <w:rsid w:val="002432FA"/>
    <w:rsid w:val="002435C5"/>
    <w:rsid w:val="002467BF"/>
    <w:rsid w:val="00250A55"/>
    <w:rsid w:val="002526B1"/>
    <w:rsid w:val="00253B57"/>
    <w:rsid w:val="00254A20"/>
    <w:rsid w:val="00256247"/>
    <w:rsid w:val="0026493E"/>
    <w:rsid w:val="00270EB2"/>
    <w:rsid w:val="00271D66"/>
    <w:rsid w:val="00272F09"/>
    <w:rsid w:val="00280AFB"/>
    <w:rsid w:val="0028168D"/>
    <w:rsid w:val="00284603"/>
    <w:rsid w:val="00284794"/>
    <w:rsid w:val="0028640D"/>
    <w:rsid w:val="00287D88"/>
    <w:rsid w:val="002945AA"/>
    <w:rsid w:val="002A32EF"/>
    <w:rsid w:val="002B660E"/>
    <w:rsid w:val="002C3211"/>
    <w:rsid w:val="002C3C5C"/>
    <w:rsid w:val="002C4194"/>
    <w:rsid w:val="002C52F5"/>
    <w:rsid w:val="002D2F1B"/>
    <w:rsid w:val="002D4ABB"/>
    <w:rsid w:val="002D5B4F"/>
    <w:rsid w:val="002D716D"/>
    <w:rsid w:val="002E1167"/>
    <w:rsid w:val="002E3B30"/>
    <w:rsid w:val="002E4561"/>
    <w:rsid w:val="002F0F2D"/>
    <w:rsid w:val="002F386F"/>
    <w:rsid w:val="002F3CFE"/>
    <w:rsid w:val="00315919"/>
    <w:rsid w:val="003161BB"/>
    <w:rsid w:val="00316CB9"/>
    <w:rsid w:val="003203E2"/>
    <w:rsid w:val="00320D7C"/>
    <w:rsid w:val="00323F5F"/>
    <w:rsid w:val="00331FFD"/>
    <w:rsid w:val="00334B9C"/>
    <w:rsid w:val="00336CF9"/>
    <w:rsid w:val="00337F7C"/>
    <w:rsid w:val="00342B1A"/>
    <w:rsid w:val="00344191"/>
    <w:rsid w:val="00350D84"/>
    <w:rsid w:val="00351A2C"/>
    <w:rsid w:val="00354314"/>
    <w:rsid w:val="00355203"/>
    <w:rsid w:val="003621CE"/>
    <w:rsid w:val="00367644"/>
    <w:rsid w:val="00372138"/>
    <w:rsid w:val="00375859"/>
    <w:rsid w:val="003814CC"/>
    <w:rsid w:val="00382E00"/>
    <w:rsid w:val="00382EF7"/>
    <w:rsid w:val="0038358A"/>
    <w:rsid w:val="003873EA"/>
    <w:rsid w:val="00393C8E"/>
    <w:rsid w:val="00393D6D"/>
    <w:rsid w:val="00393E3E"/>
    <w:rsid w:val="0039417F"/>
    <w:rsid w:val="0039496C"/>
    <w:rsid w:val="00395F3B"/>
    <w:rsid w:val="003A330E"/>
    <w:rsid w:val="003A535D"/>
    <w:rsid w:val="003A6F48"/>
    <w:rsid w:val="003B5225"/>
    <w:rsid w:val="003C1A7A"/>
    <w:rsid w:val="003C3A26"/>
    <w:rsid w:val="003D37B2"/>
    <w:rsid w:val="003E11BD"/>
    <w:rsid w:val="003E38CA"/>
    <w:rsid w:val="003E6190"/>
    <w:rsid w:val="003E6411"/>
    <w:rsid w:val="003E6D2C"/>
    <w:rsid w:val="003E760B"/>
    <w:rsid w:val="003E7C8A"/>
    <w:rsid w:val="003F0F35"/>
    <w:rsid w:val="003F2EEB"/>
    <w:rsid w:val="003F65AA"/>
    <w:rsid w:val="00402292"/>
    <w:rsid w:val="00403B40"/>
    <w:rsid w:val="00404BCB"/>
    <w:rsid w:val="00413975"/>
    <w:rsid w:val="00417AE3"/>
    <w:rsid w:val="00420F7E"/>
    <w:rsid w:val="0042155B"/>
    <w:rsid w:val="004221C9"/>
    <w:rsid w:val="004221DF"/>
    <w:rsid w:val="00430A5C"/>
    <w:rsid w:val="00430DC8"/>
    <w:rsid w:val="004348D6"/>
    <w:rsid w:val="004350DA"/>
    <w:rsid w:val="00437850"/>
    <w:rsid w:val="00437FE0"/>
    <w:rsid w:val="004410FF"/>
    <w:rsid w:val="004422BE"/>
    <w:rsid w:val="00443005"/>
    <w:rsid w:val="004464DE"/>
    <w:rsid w:val="00446DC4"/>
    <w:rsid w:val="00447272"/>
    <w:rsid w:val="00451D91"/>
    <w:rsid w:val="0045289C"/>
    <w:rsid w:val="00460203"/>
    <w:rsid w:val="004619AF"/>
    <w:rsid w:val="00465E1E"/>
    <w:rsid w:val="004737AF"/>
    <w:rsid w:val="004763D1"/>
    <w:rsid w:val="0047771D"/>
    <w:rsid w:val="00477A7C"/>
    <w:rsid w:val="00477E0C"/>
    <w:rsid w:val="004812AD"/>
    <w:rsid w:val="00482CF4"/>
    <w:rsid w:val="00483091"/>
    <w:rsid w:val="004862E0"/>
    <w:rsid w:val="004871E0"/>
    <w:rsid w:val="00487D81"/>
    <w:rsid w:val="00491E07"/>
    <w:rsid w:val="00492CB6"/>
    <w:rsid w:val="004959DC"/>
    <w:rsid w:val="004963A8"/>
    <w:rsid w:val="004A28D6"/>
    <w:rsid w:val="004A5AF8"/>
    <w:rsid w:val="004A7036"/>
    <w:rsid w:val="004B0FE5"/>
    <w:rsid w:val="004B1C81"/>
    <w:rsid w:val="004C1B5A"/>
    <w:rsid w:val="004C1DF1"/>
    <w:rsid w:val="004C21B4"/>
    <w:rsid w:val="004C3E9A"/>
    <w:rsid w:val="004C6020"/>
    <w:rsid w:val="004C7446"/>
    <w:rsid w:val="004C7B82"/>
    <w:rsid w:val="004D0EF3"/>
    <w:rsid w:val="004D3170"/>
    <w:rsid w:val="004D43AD"/>
    <w:rsid w:val="004D4714"/>
    <w:rsid w:val="004E0555"/>
    <w:rsid w:val="004E083B"/>
    <w:rsid w:val="004E252C"/>
    <w:rsid w:val="004E35BE"/>
    <w:rsid w:val="004E757B"/>
    <w:rsid w:val="004F0354"/>
    <w:rsid w:val="00500DD9"/>
    <w:rsid w:val="00505908"/>
    <w:rsid w:val="005102B3"/>
    <w:rsid w:val="00511CB8"/>
    <w:rsid w:val="0051711A"/>
    <w:rsid w:val="00517E16"/>
    <w:rsid w:val="00520DF0"/>
    <w:rsid w:val="005239CB"/>
    <w:rsid w:val="00530F4A"/>
    <w:rsid w:val="005338A2"/>
    <w:rsid w:val="005376B0"/>
    <w:rsid w:val="00544767"/>
    <w:rsid w:val="005455F7"/>
    <w:rsid w:val="005461E5"/>
    <w:rsid w:val="00547638"/>
    <w:rsid w:val="005517C8"/>
    <w:rsid w:val="0055561A"/>
    <w:rsid w:val="00557365"/>
    <w:rsid w:val="00557D4A"/>
    <w:rsid w:val="005731A0"/>
    <w:rsid w:val="00581AD1"/>
    <w:rsid w:val="0058464F"/>
    <w:rsid w:val="005901E1"/>
    <w:rsid w:val="00591521"/>
    <w:rsid w:val="00591E15"/>
    <w:rsid w:val="00592F91"/>
    <w:rsid w:val="005A1433"/>
    <w:rsid w:val="005A2C8D"/>
    <w:rsid w:val="005A55D3"/>
    <w:rsid w:val="005A5E98"/>
    <w:rsid w:val="005A6903"/>
    <w:rsid w:val="005A753D"/>
    <w:rsid w:val="005A7B88"/>
    <w:rsid w:val="005B4BA3"/>
    <w:rsid w:val="005D634A"/>
    <w:rsid w:val="005D70F6"/>
    <w:rsid w:val="005D7BD8"/>
    <w:rsid w:val="005E020F"/>
    <w:rsid w:val="005E2A16"/>
    <w:rsid w:val="005E71F7"/>
    <w:rsid w:val="005F0108"/>
    <w:rsid w:val="005F215F"/>
    <w:rsid w:val="005F2240"/>
    <w:rsid w:val="005F5C96"/>
    <w:rsid w:val="005F6172"/>
    <w:rsid w:val="0060095F"/>
    <w:rsid w:val="00600EDA"/>
    <w:rsid w:val="00602C97"/>
    <w:rsid w:val="00605D8C"/>
    <w:rsid w:val="0061352A"/>
    <w:rsid w:val="00614438"/>
    <w:rsid w:val="00614B89"/>
    <w:rsid w:val="00617951"/>
    <w:rsid w:val="00620473"/>
    <w:rsid w:val="0062536D"/>
    <w:rsid w:val="00626497"/>
    <w:rsid w:val="006356D5"/>
    <w:rsid w:val="0063686B"/>
    <w:rsid w:val="00637996"/>
    <w:rsid w:val="00637ED1"/>
    <w:rsid w:val="00640CE1"/>
    <w:rsid w:val="00641E6F"/>
    <w:rsid w:val="00645555"/>
    <w:rsid w:val="006460E1"/>
    <w:rsid w:val="00654F60"/>
    <w:rsid w:val="00655B0B"/>
    <w:rsid w:val="00657541"/>
    <w:rsid w:val="0065799D"/>
    <w:rsid w:val="00657ABD"/>
    <w:rsid w:val="00661340"/>
    <w:rsid w:val="006678C9"/>
    <w:rsid w:val="00667F7F"/>
    <w:rsid w:val="00675D2B"/>
    <w:rsid w:val="00682952"/>
    <w:rsid w:val="006834E3"/>
    <w:rsid w:val="00687A86"/>
    <w:rsid w:val="00690212"/>
    <w:rsid w:val="006957C6"/>
    <w:rsid w:val="00697C23"/>
    <w:rsid w:val="006A513C"/>
    <w:rsid w:val="006A5D20"/>
    <w:rsid w:val="006B21E3"/>
    <w:rsid w:val="006B4CA5"/>
    <w:rsid w:val="006B5C37"/>
    <w:rsid w:val="006C4473"/>
    <w:rsid w:val="006C5BCD"/>
    <w:rsid w:val="006E1613"/>
    <w:rsid w:val="006E6DE6"/>
    <w:rsid w:val="006F3A43"/>
    <w:rsid w:val="006F4086"/>
    <w:rsid w:val="006F42BD"/>
    <w:rsid w:val="006F773E"/>
    <w:rsid w:val="007013A7"/>
    <w:rsid w:val="0070210B"/>
    <w:rsid w:val="0070310B"/>
    <w:rsid w:val="00705A3D"/>
    <w:rsid w:val="00705A45"/>
    <w:rsid w:val="007137EC"/>
    <w:rsid w:val="00716897"/>
    <w:rsid w:val="007207DA"/>
    <w:rsid w:val="00720FB3"/>
    <w:rsid w:val="00721B8C"/>
    <w:rsid w:val="00722321"/>
    <w:rsid w:val="00724833"/>
    <w:rsid w:val="00724869"/>
    <w:rsid w:val="007262B8"/>
    <w:rsid w:val="00726761"/>
    <w:rsid w:val="00730BFB"/>
    <w:rsid w:val="00730FBC"/>
    <w:rsid w:val="00731C77"/>
    <w:rsid w:val="00732F88"/>
    <w:rsid w:val="00733FE8"/>
    <w:rsid w:val="00734445"/>
    <w:rsid w:val="007352F4"/>
    <w:rsid w:val="007363A4"/>
    <w:rsid w:val="00737EA9"/>
    <w:rsid w:val="00737FB8"/>
    <w:rsid w:val="007408DB"/>
    <w:rsid w:val="0074125B"/>
    <w:rsid w:val="00746FC7"/>
    <w:rsid w:val="00750AE5"/>
    <w:rsid w:val="007519A6"/>
    <w:rsid w:val="0075450F"/>
    <w:rsid w:val="007559A3"/>
    <w:rsid w:val="00757D4D"/>
    <w:rsid w:val="00765C32"/>
    <w:rsid w:val="0077012D"/>
    <w:rsid w:val="00771322"/>
    <w:rsid w:val="00772A79"/>
    <w:rsid w:val="00772B42"/>
    <w:rsid w:val="00773051"/>
    <w:rsid w:val="00774EC7"/>
    <w:rsid w:val="00780CC4"/>
    <w:rsid w:val="00781757"/>
    <w:rsid w:val="00784175"/>
    <w:rsid w:val="007847BE"/>
    <w:rsid w:val="00784B6F"/>
    <w:rsid w:val="0078731F"/>
    <w:rsid w:val="007932D0"/>
    <w:rsid w:val="00794F74"/>
    <w:rsid w:val="00795C51"/>
    <w:rsid w:val="0079655C"/>
    <w:rsid w:val="007A3E7C"/>
    <w:rsid w:val="007A5456"/>
    <w:rsid w:val="007C03E3"/>
    <w:rsid w:val="007C0455"/>
    <w:rsid w:val="007C275D"/>
    <w:rsid w:val="007C2FAA"/>
    <w:rsid w:val="007C407F"/>
    <w:rsid w:val="007C41E2"/>
    <w:rsid w:val="007D11A1"/>
    <w:rsid w:val="007D3423"/>
    <w:rsid w:val="007D4CB3"/>
    <w:rsid w:val="007E0CAC"/>
    <w:rsid w:val="007E6C34"/>
    <w:rsid w:val="007F0C68"/>
    <w:rsid w:val="007F2A86"/>
    <w:rsid w:val="007F596B"/>
    <w:rsid w:val="008035E7"/>
    <w:rsid w:val="00804CBA"/>
    <w:rsid w:val="0081087B"/>
    <w:rsid w:val="00827C13"/>
    <w:rsid w:val="00830BAB"/>
    <w:rsid w:val="00833964"/>
    <w:rsid w:val="00834776"/>
    <w:rsid w:val="0083518A"/>
    <w:rsid w:val="0083613F"/>
    <w:rsid w:val="00846955"/>
    <w:rsid w:val="00846F45"/>
    <w:rsid w:val="00850646"/>
    <w:rsid w:val="00851B07"/>
    <w:rsid w:val="0085221A"/>
    <w:rsid w:val="008578E3"/>
    <w:rsid w:val="00862350"/>
    <w:rsid w:val="008758D9"/>
    <w:rsid w:val="00880717"/>
    <w:rsid w:val="008810D3"/>
    <w:rsid w:val="00881D36"/>
    <w:rsid w:val="008821EE"/>
    <w:rsid w:val="00882534"/>
    <w:rsid w:val="00883140"/>
    <w:rsid w:val="00884D4F"/>
    <w:rsid w:val="00885841"/>
    <w:rsid w:val="00887E4E"/>
    <w:rsid w:val="00893A4D"/>
    <w:rsid w:val="008952D0"/>
    <w:rsid w:val="008A4BEC"/>
    <w:rsid w:val="008A608F"/>
    <w:rsid w:val="008A7F03"/>
    <w:rsid w:val="008B5DBA"/>
    <w:rsid w:val="008B791D"/>
    <w:rsid w:val="008C3373"/>
    <w:rsid w:val="008C49BA"/>
    <w:rsid w:val="008C76F7"/>
    <w:rsid w:val="008D052B"/>
    <w:rsid w:val="008D0DC2"/>
    <w:rsid w:val="008D2E0E"/>
    <w:rsid w:val="008E1BC5"/>
    <w:rsid w:val="008E4B62"/>
    <w:rsid w:val="008E73DD"/>
    <w:rsid w:val="008F0902"/>
    <w:rsid w:val="008F32CB"/>
    <w:rsid w:val="008F4B97"/>
    <w:rsid w:val="00901412"/>
    <w:rsid w:val="00901B54"/>
    <w:rsid w:val="0091237A"/>
    <w:rsid w:val="009146A0"/>
    <w:rsid w:val="0091727D"/>
    <w:rsid w:val="00920D7E"/>
    <w:rsid w:val="0092573A"/>
    <w:rsid w:val="00925A20"/>
    <w:rsid w:val="00930379"/>
    <w:rsid w:val="00931987"/>
    <w:rsid w:val="00932CA0"/>
    <w:rsid w:val="00935290"/>
    <w:rsid w:val="0094697C"/>
    <w:rsid w:val="0095047F"/>
    <w:rsid w:val="00954183"/>
    <w:rsid w:val="00955D5D"/>
    <w:rsid w:val="00955ED8"/>
    <w:rsid w:val="009574EF"/>
    <w:rsid w:val="00961055"/>
    <w:rsid w:val="0096369C"/>
    <w:rsid w:val="00965DB3"/>
    <w:rsid w:val="009673F7"/>
    <w:rsid w:val="0096769E"/>
    <w:rsid w:val="00967DCB"/>
    <w:rsid w:val="00970014"/>
    <w:rsid w:val="0097064F"/>
    <w:rsid w:val="009713A2"/>
    <w:rsid w:val="00976579"/>
    <w:rsid w:val="00977DC9"/>
    <w:rsid w:val="0098068A"/>
    <w:rsid w:val="00980870"/>
    <w:rsid w:val="00980F74"/>
    <w:rsid w:val="009868D0"/>
    <w:rsid w:val="00990539"/>
    <w:rsid w:val="00990ED1"/>
    <w:rsid w:val="009960D4"/>
    <w:rsid w:val="009A1F9D"/>
    <w:rsid w:val="009A2C01"/>
    <w:rsid w:val="009A6D52"/>
    <w:rsid w:val="009A7F2E"/>
    <w:rsid w:val="009B08B6"/>
    <w:rsid w:val="009B211A"/>
    <w:rsid w:val="009C3A42"/>
    <w:rsid w:val="009C59DA"/>
    <w:rsid w:val="009C731B"/>
    <w:rsid w:val="009C7D2B"/>
    <w:rsid w:val="009D22B6"/>
    <w:rsid w:val="009D404A"/>
    <w:rsid w:val="009E202F"/>
    <w:rsid w:val="009E3EBA"/>
    <w:rsid w:val="009F45C2"/>
    <w:rsid w:val="009F6854"/>
    <w:rsid w:val="00A0188D"/>
    <w:rsid w:val="00A21ECD"/>
    <w:rsid w:val="00A232B3"/>
    <w:rsid w:val="00A234B5"/>
    <w:rsid w:val="00A27007"/>
    <w:rsid w:val="00A33AF1"/>
    <w:rsid w:val="00A35308"/>
    <w:rsid w:val="00A44D1A"/>
    <w:rsid w:val="00A53CAE"/>
    <w:rsid w:val="00A556C9"/>
    <w:rsid w:val="00A6045F"/>
    <w:rsid w:val="00A76E3E"/>
    <w:rsid w:val="00A84F14"/>
    <w:rsid w:val="00A863EE"/>
    <w:rsid w:val="00A86586"/>
    <w:rsid w:val="00A86FA6"/>
    <w:rsid w:val="00A879F0"/>
    <w:rsid w:val="00A90777"/>
    <w:rsid w:val="00A950E7"/>
    <w:rsid w:val="00AA0CCE"/>
    <w:rsid w:val="00AC5CA8"/>
    <w:rsid w:val="00AD0DC8"/>
    <w:rsid w:val="00AD1E66"/>
    <w:rsid w:val="00AD202F"/>
    <w:rsid w:val="00AE1A89"/>
    <w:rsid w:val="00AE28BE"/>
    <w:rsid w:val="00AE4AE1"/>
    <w:rsid w:val="00AE6D1F"/>
    <w:rsid w:val="00AE7DD0"/>
    <w:rsid w:val="00AF75EA"/>
    <w:rsid w:val="00B03FB1"/>
    <w:rsid w:val="00B04CDC"/>
    <w:rsid w:val="00B0636A"/>
    <w:rsid w:val="00B1059F"/>
    <w:rsid w:val="00B10D6E"/>
    <w:rsid w:val="00B11341"/>
    <w:rsid w:val="00B11E6B"/>
    <w:rsid w:val="00B15780"/>
    <w:rsid w:val="00B21366"/>
    <w:rsid w:val="00B2267C"/>
    <w:rsid w:val="00B279FC"/>
    <w:rsid w:val="00B40F6A"/>
    <w:rsid w:val="00B4514E"/>
    <w:rsid w:val="00B5258F"/>
    <w:rsid w:val="00B53681"/>
    <w:rsid w:val="00B55334"/>
    <w:rsid w:val="00B60DC9"/>
    <w:rsid w:val="00B62ECA"/>
    <w:rsid w:val="00B64F9C"/>
    <w:rsid w:val="00B65097"/>
    <w:rsid w:val="00B662D9"/>
    <w:rsid w:val="00B6741E"/>
    <w:rsid w:val="00B71D84"/>
    <w:rsid w:val="00B72777"/>
    <w:rsid w:val="00B7316F"/>
    <w:rsid w:val="00B746A5"/>
    <w:rsid w:val="00B7479A"/>
    <w:rsid w:val="00B85BC4"/>
    <w:rsid w:val="00B918AE"/>
    <w:rsid w:val="00BA043F"/>
    <w:rsid w:val="00BA1E67"/>
    <w:rsid w:val="00BA4AC3"/>
    <w:rsid w:val="00BB111F"/>
    <w:rsid w:val="00BB76A0"/>
    <w:rsid w:val="00BC3F7E"/>
    <w:rsid w:val="00BC5872"/>
    <w:rsid w:val="00BC6D68"/>
    <w:rsid w:val="00BD0D28"/>
    <w:rsid w:val="00BD2B7C"/>
    <w:rsid w:val="00BD2BD8"/>
    <w:rsid w:val="00BD526E"/>
    <w:rsid w:val="00BD67B7"/>
    <w:rsid w:val="00BE0AF2"/>
    <w:rsid w:val="00C110F6"/>
    <w:rsid w:val="00C115CA"/>
    <w:rsid w:val="00C120A9"/>
    <w:rsid w:val="00C13908"/>
    <w:rsid w:val="00C17983"/>
    <w:rsid w:val="00C17B80"/>
    <w:rsid w:val="00C26D81"/>
    <w:rsid w:val="00C27D0E"/>
    <w:rsid w:val="00C3162D"/>
    <w:rsid w:val="00C356C2"/>
    <w:rsid w:val="00C40FAB"/>
    <w:rsid w:val="00C412C3"/>
    <w:rsid w:val="00C41B88"/>
    <w:rsid w:val="00C45C83"/>
    <w:rsid w:val="00C501CA"/>
    <w:rsid w:val="00C517DC"/>
    <w:rsid w:val="00C54031"/>
    <w:rsid w:val="00C61CCB"/>
    <w:rsid w:val="00C625E4"/>
    <w:rsid w:val="00C734CD"/>
    <w:rsid w:val="00C73F90"/>
    <w:rsid w:val="00C7775E"/>
    <w:rsid w:val="00C822B4"/>
    <w:rsid w:val="00C85CE5"/>
    <w:rsid w:val="00C86807"/>
    <w:rsid w:val="00C86F9D"/>
    <w:rsid w:val="00C93D33"/>
    <w:rsid w:val="00CB0154"/>
    <w:rsid w:val="00CB0D03"/>
    <w:rsid w:val="00CB1CBB"/>
    <w:rsid w:val="00CB4F81"/>
    <w:rsid w:val="00CC001E"/>
    <w:rsid w:val="00CC0343"/>
    <w:rsid w:val="00CC4DEE"/>
    <w:rsid w:val="00CC60B9"/>
    <w:rsid w:val="00CD268C"/>
    <w:rsid w:val="00CD60AF"/>
    <w:rsid w:val="00CE5F36"/>
    <w:rsid w:val="00CE6F67"/>
    <w:rsid w:val="00CE7A24"/>
    <w:rsid w:val="00CE7D50"/>
    <w:rsid w:val="00CF158F"/>
    <w:rsid w:val="00CF186E"/>
    <w:rsid w:val="00D05F08"/>
    <w:rsid w:val="00D06C75"/>
    <w:rsid w:val="00D100DB"/>
    <w:rsid w:val="00D11CF0"/>
    <w:rsid w:val="00D12AF2"/>
    <w:rsid w:val="00D14B7C"/>
    <w:rsid w:val="00D23271"/>
    <w:rsid w:val="00D23384"/>
    <w:rsid w:val="00D236FA"/>
    <w:rsid w:val="00D25788"/>
    <w:rsid w:val="00D42D1C"/>
    <w:rsid w:val="00D43B36"/>
    <w:rsid w:val="00D618C0"/>
    <w:rsid w:val="00D6307E"/>
    <w:rsid w:val="00D65CC8"/>
    <w:rsid w:val="00D72617"/>
    <w:rsid w:val="00D7631E"/>
    <w:rsid w:val="00D76453"/>
    <w:rsid w:val="00D858B7"/>
    <w:rsid w:val="00D870CA"/>
    <w:rsid w:val="00D91605"/>
    <w:rsid w:val="00D91BE7"/>
    <w:rsid w:val="00D94296"/>
    <w:rsid w:val="00D94D2D"/>
    <w:rsid w:val="00D964D8"/>
    <w:rsid w:val="00DA0733"/>
    <w:rsid w:val="00DB02C7"/>
    <w:rsid w:val="00DB123C"/>
    <w:rsid w:val="00DB2C4F"/>
    <w:rsid w:val="00DC12ED"/>
    <w:rsid w:val="00DC4CA3"/>
    <w:rsid w:val="00DC6115"/>
    <w:rsid w:val="00DD219C"/>
    <w:rsid w:val="00DD2CA7"/>
    <w:rsid w:val="00DD63FE"/>
    <w:rsid w:val="00DD79EF"/>
    <w:rsid w:val="00DE25FC"/>
    <w:rsid w:val="00DE475C"/>
    <w:rsid w:val="00DE495E"/>
    <w:rsid w:val="00DE6E10"/>
    <w:rsid w:val="00E0107C"/>
    <w:rsid w:val="00E046DF"/>
    <w:rsid w:val="00E051F8"/>
    <w:rsid w:val="00E11BC6"/>
    <w:rsid w:val="00E11E40"/>
    <w:rsid w:val="00E132C9"/>
    <w:rsid w:val="00E159B3"/>
    <w:rsid w:val="00E15A66"/>
    <w:rsid w:val="00E162FB"/>
    <w:rsid w:val="00E23694"/>
    <w:rsid w:val="00E26339"/>
    <w:rsid w:val="00E27C54"/>
    <w:rsid w:val="00E333B0"/>
    <w:rsid w:val="00E37151"/>
    <w:rsid w:val="00E44E0F"/>
    <w:rsid w:val="00E47F79"/>
    <w:rsid w:val="00E56E71"/>
    <w:rsid w:val="00E57133"/>
    <w:rsid w:val="00E609DF"/>
    <w:rsid w:val="00E61B01"/>
    <w:rsid w:val="00E61D62"/>
    <w:rsid w:val="00E62DBC"/>
    <w:rsid w:val="00E63B42"/>
    <w:rsid w:val="00E70637"/>
    <w:rsid w:val="00E7451A"/>
    <w:rsid w:val="00E75B73"/>
    <w:rsid w:val="00E76B3D"/>
    <w:rsid w:val="00E84913"/>
    <w:rsid w:val="00E90A77"/>
    <w:rsid w:val="00E92003"/>
    <w:rsid w:val="00E966F5"/>
    <w:rsid w:val="00E96BEB"/>
    <w:rsid w:val="00EA2FB8"/>
    <w:rsid w:val="00EA705C"/>
    <w:rsid w:val="00EA7275"/>
    <w:rsid w:val="00EA7BDF"/>
    <w:rsid w:val="00EB1A18"/>
    <w:rsid w:val="00EB339D"/>
    <w:rsid w:val="00EB3C47"/>
    <w:rsid w:val="00EC0003"/>
    <w:rsid w:val="00EC46A7"/>
    <w:rsid w:val="00EC6667"/>
    <w:rsid w:val="00ED189C"/>
    <w:rsid w:val="00ED1BA3"/>
    <w:rsid w:val="00ED3930"/>
    <w:rsid w:val="00ED570B"/>
    <w:rsid w:val="00ED6316"/>
    <w:rsid w:val="00ED787E"/>
    <w:rsid w:val="00EE6366"/>
    <w:rsid w:val="00EF22B5"/>
    <w:rsid w:val="00EF5CF5"/>
    <w:rsid w:val="00F02BFC"/>
    <w:rsid w:val="00F040B0"/>
    <w:rsid w:val="00F14C2E"/>
    <w:rsid w:val="00F23D3B"/>
    <w:rsid w:val="00F31EE8"/>
    <w:rsid w:val="00F34709"/>
    <w:rsid w:val="00F36E9C"/>
    <w:rsid w:val="00F43C6B"/>
    <w:rsid w:val="00F479FE"/>
    <w:rsid w:val="00F558A5"/>
    <w:rsid w:val="00F56FD7"/>
    <w:rsid w:val="00F6134B"/>
    <w:rsid w:val="00F63E3B"/>
    <w:rsid w:val="00F6799B"/>
    <w:rsid w:val="00F72E72"/>
    <w:rsid w:val="00F7385A"/>
    <w:rsid w:val="00F76411"/>
    <w:rsid w:val="00F77729"/>
    <w:rsid w:val="00F81568"/>
    <w:rsid w:val="00F847C7"/>
    <w:rsid w:val="00F872F8"/>
    <w:rsid w:val="00F8731F"/>
    <w:rsid w:val="00F87474"/>
    <w:rsid w:val="00F9343E"/>
    <w:rsid w:val="00F938BA"/>
    <w:rsid w:val="00F93FC2"/>
    <w:rsid w:val="00F942D4"/>
    <w:rsid w:val="00F94653"/>
    <w:rsid w:val="00F96AD6"/>
    <w:rsid w:val="00FA268A"/>
    <w:rsid w:val="00FA335C"/>
    <w:rsid w:val="00FA4D73"/>
    <w:rsid w:val="00FA6632"/>
    <w:rsid w:val="00FB196F"/>
    <w:rsid w:val="00FB3D5D"/>
    <w:rsid w:val="00FC336A"/>
    <w:rsid w:val="00FC4701"/>
    <w:rsid w:val="00FE04E8"/>
    <w:rsid w:val="00FE1562"/>
    <w:rsid w:val="00FE3EF1"/>
    <w:rsid w:val="00FE7CBF"/>
    <w:rsid w:val="00FF1824"/>
    <w:rsid w:val="00FF1FAD"/>
    <w:rsid w:val="00FF2A4C"/>
    <w:rsid w:val="00FF31C9"/>
    <w:rsid w:val="00FF576F"/>
    <w:rsid w:val="00FF76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6F67"/>
    <w:pPr>
      <w:keepNext/>
      <w:keepLines/>
      <w:pBdr>
        <w:bottom w:val="single" w:sz="18" w:space="1" w:color="1E7FB8"/>
      </w:pBdr>
      <w:spacing w:before="480" w:after="0" w:line="240" w:lineRule="auto"/>
      <w:outlineLvl w:val="0"/>
    </w:pPr>
    <w:rPr>
      <w:rFonts w:asciiTheme="majorHAnsi" w:eastAsiaTheme="majorEastAsia" w:hAnsiTheme="majorHAnsi" w:cstheme="majorBidi"/>
      <w:b/>
      <w:bCs/>
      <w:smallCaps/>
      <w:color w:val="1E7FB8"/>
      <w:sz w:val="36"/>
      <w:szCs w:val="28"/>
      <w:lang w:eastAsia="zh-CN"/>
    </w:rPr>
  </w:style>
  <w:style w:type="paragraph" w:styleId="Heading2">
    <w:name w:val="heading 2"/>
    <w:basedOn w:val="Normal"/>
    <w:next w:val="Normal"/>
    <w:link w:val="Heading2Char"/>
    <w:uiPriority w:val="1"/>
    <w:qFormat/>
    <w:rsid w:val="00B55334"/>
    <w:pPr>
      <w:keepNext/>
      <w:spacing w:after="0" w:line="240" w:lineRule="auto"/>
      <w:outlineLvl w:val="1"/>
    </w:pPr>
    <w:rPr>
      <w:rFonts w:ascii="Arial" w:eastAsia="Times New Roman" w:hAnsi="Arial" w:cs="Arial"/>
      <w:b/>
      <w:i/>
      <w:color w:val="0070C0"/>
      <w:sz w:val="24"/>
      <w:szCs w:val="20"/>
    </w:rPr>
  </w:style>
  <w:style w:type="paragraph" w:styleId="Heading3">
    <w:name w:val="heading 3"/>
    <w:basedOn w:val="Heading1"/>
    <w:next w:val="Normal"/>
    <w:link w:val="Heading3Char"/>
    <w:uiPriority w:val="1"/>
    <w:unhideWhenUsed/>
    <w:qFormat/>
    <w:rsid w:val="00697C23"/>
    <w:pPr>
      <w:pBdr>
        <w:bottom w:val="none" w:sz="0" w:space="0" w:color="auto"/>
      </w:pBdr>
      <w:spacing w:before="120" w:after="120"/>
      <w:outlineLvl w:val="2"/>
    </w:pPr>
    <w:rPr>
      <w:smallCaps w:val="0"/>
      <w:sz w:val="24"/>
    </w:rPr>
  </w:style>
  <w:style w:type="paragraph" w:styleId="Heading4">
    <w:name w:val="heading 4"/>
    <w:basedOn w:val="Normal"/>
    <w:next w:val="Normal"/>
    <w:link w:val="Heading4Char"/>
    <w:uiPriority w:val="9"/>
    <w:unhideWhenUsed/>
    <w:qFormat/>
    <w:rsid w:val="00697C23"/>
    <w:pPr>
      <w:keepNext/>
      <w:spacing w:after="0" w:line="240" w:lineRule="auto"/>
      <w:jc w:val="center"/>
      <w:outlineLvl w:val="3"/>
    </w:pPr>
    <w:rPr>
      <w:rFonts w:eastAsiaTheme="minorEastAsia" w:cstheme="minorHAnsi"/>
      <w:b/>
      <w:sz w:val="4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CA3"/>
    <w:pPr>
      <w:ind w:left="720"/>
      <w:contextualSpacing/>
    </w:pPr>
  </w:style>
  <w:style w:type="paragraph" w:styleId="Header">
    <w:name w:val="header"/>
    <w:basedOn w:val="Normal"/>
    <w:link w:val="HeaderChar"/>
    <w:uiPriority w:val="99"/>
    <w:unhideWhenUsed/>
    <w:rsid w:val="00F96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AD6"/>
  </w:style>
  <w:style w:type="paragraph" w:styleId="Footer">
    <w:name w:val="footer"/>
    <w:basedOn w:val="Normal"/>
    <w:link w:val="FooterChar"/>
    <w:uiPriority w:val="99"/>
    <w:unhideWhenUsed/>
    <w:rsid w:val="00F96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AD6"/>
  </w:style>
  <w:style w:type="paragraph" w:styleId="BalloonText">
    <w:name w:val="Balloon Text"/>
    <w:basedOn w:val="Normal"/>
    <w:link w:val="BalloonTextChar"/>
    <w:semiHidden/>
    <w:unhideWhenUsed/>
    <w:rsid w:val="000E7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E7430"/>
    <w:rPr>
      <w:rFonts w:ascii="Segoe UI" w:hAnsi="Segoe UI" w:cs="Segoe UI"/>
      <w:sz w:val="18"/>
      <w:szCs w:val="18"/>
    </w:rPr>
  </w:style>
  <w:style w:type="character" w:styleId="CommentReference">
    <w:name w:val="annotation reference"/>
    <w:basedOn w:val="DefaultParagraphFont"/>
    <w:uiPriority w:val="99"/>
    <w:unhideWhenUsed/>
    <w:rsid w:val="00682952"/>
    <w:rPr>
      <w:sz w:val="16"/>
      <w:szCs w:val="16"/>
    </w:rPr>
  </w:style>
  <w:style w:type="paragraph" w:styleId="CommentText">
    <w:name w:val="annotation text"/>
    <w:basedOn w:val="Normal"/>
    <w:link w:val="CommentTextChar"/>
    <w:uiPriority w:val="99"/>
    <w:unhideWhenUsed/>
    <w:rsid w:val="00682952"/>
    <w:pPr>
      <w:spacing w:line="240" w:lineRule="auto"/>
    </w:pPr>
    <w:rPr>
      <w:sz w:val="20"/>
      <w:szCs w:val="20"/>
    </w:rPr>
  </w:style>
  <w:style w:type="character" w:customStyle="1" w:styleId="CommentTextChar">
    <w:name w:val="Comment Text Char"/>
    <w:basedOn w:val="DefaultParagraphFont"/>
    <w:link w:val="CommentText"/>
    <w:uiPriority w:val="99"/>
    <w:rsid w:val="00682952"/>
    <w:rPr>
      <w:sz w:val="20"/>
      <w:szCs w:val="20"/>
    </w:rPr>
  </w:style>
  <w:style w:type="paragraph" w:styleId="CommentSubject">
    <w:name w:val="annotation subject"/>
    <w:basedOn w:val="CommentText"/>
    <w:next w:val="CommentText"/>
    <w:link w:val="CommentSubjectChar"/>
    <w:unhideWhenUsed/>
    <w:rsid w:val="00682952"/>
    <w:rPr>
      <w:b/>
      <w:bCs/>
    </w:rPr>
  </w:style>
  <w:style w:type="character" w:customStyle="1" w:styleId="CommentSubjectChar">
    <w:name w:val="Comment Subject Char"/>
    <w:basedOn w:val="CommentTextChar"/>
    <w:link w:val="CommentSubject"/>
    <w:rsid w:val="00682952"/>
    <w:rPr>
      <w:b/>
      <w:bCs/>
      <w:sz w:val="20"/>
      <w:szCs w:val="20"/>
    </w:rPr>
  </w:style>
  <w:style w:type="table" w:styleId="TableGrid">
    <w:name w:val="Table Grid"/>
    <w:basedOn w:val="TableNormal"/>
    <w:rsid w:val="006B4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095F"/>
    <w:pPr>
      <w:spacing w:after="0" w:line="240" w:lineRule="auto"/>
    </w:pPr>
  </w:style>
  <w:style w:type="paragraph" w:styleId="Subtitle">
    <w:name w:val="Subtitle"/>
    <w:basedOn w:val="Normal"/>
    <w:next w:val="Normal"/>
    <w:link w:val="SubtitleChar"/>
    <w:uiPriority w:val="11"/>
    <w:qFormat/>
    <w:rsid w:val="005556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5561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E6F67"/>
    <w:rPr>
      <w:rFonts w:asciiTheme="majorHAnsi" w:eastAsiaTheme="majorEastAsia" w:hAnsiTheme="majorHAnsi" w:cstheme="majorBidi"/>
      <w:b/>
      <w:bCs/>
      <w:smallCaps/>
      <w:color w:val="1E7FB8"/>
      <w:sz w:val="36"/>
      <w:szCs w:val="28"/>
      <w:lang w:eastAsia="zh-CN"/>
    </w:rPr>
  </w:style>
  <w:style w:type="paragraph" w:styleId="FootnoteText">
    <w:name w:val="footnote text"/>
    <w:basedOn w:val="Normal"/>
    <w:link w:val="FootnoteTextChar"/>
    <w:uiPriority w:val="99"/>
    <w:rsid w:val="001439D1"/>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1439D1"/>
    <w:rPr>
      <w:rFonts w:ascii="Arial" w:eastAsia="Times New Roman" w:hAnsi="Arial" w:cs="Times New Roman"/>
      <w:sz w:val="20"/>
      <w:szCs w:val="20"/>
    </w:rPr>
  </w:style>
  <w:style w:type="character" w:styleId="FootnoteReference">
    <w:name w:val="footnote reference"/>
    <w:basedOn w:val="DefaultParagraphFont"/>
    <w:uiPriority w:val="99"/>
    <w:rsid w:val="001439D1"/>
    <w:rPr>
      <w:vertAlign w:val="superscript"/>
    </w:rPr>
  </w:style>
  <w:style w:type="paragraph" w:styleId="NoSpacing">
    <w:name w:val="No Spacing"/>
    <w:link w:val="NoSpacingChar"/>
    <w:uiPriority w:val="1"/>
    <w:qFormat/>
    <w:rsid w:val="00A21ECD"/>
    <w:pPr>
      <w:spacing w:after="0" w:line="240" w:lineRule="auto"/>
      <w:jc w:val="both"/>
    </w:pPr>
    <w:rPr>
      <w:rFonts w:ascii="Arial" w:eastAsia="Times New Roman" w:hAnsi="Arial" w:cs="Times New Roman"/>
      <w:spacing w:val="-5"/>
      <w:sz w:val="20"/>
      <w:szCs w:val="20"/>
    </w:rPr>
  </w:style>
  <w:style w:type="character" w:customStyle="1" w:styleId="NoSpacingChar">
    <w:name w:val="No Spacing Char"/>
    <w:basedOn w:val="DefaultParagraphFont"/>
    <w:link w:val="NoSpacing"/>
    <w:uiPriority w:val="1"/>
    <w:rsid w:val="00A21ECD"/>
    <w:rPr>
      <w:rFonts w:ascii="Arial" w:eastAsia="Times New Roman" w:hAnsi="Arial" w:cs="Times New Roman"/>
      <w:spacing w:val="-5"/>
      <w:sz w:val="20"/>
      <w:szCs w:val="20"/>
    </w:rPr>
  </w:style>
  <w:style w:type="character" w:customStyle="1" w:styleId="Heading2Char">
    <w:name w:val="Heading 2 Char"/>
    <w:basedOn w:val="DefaultParagraphFont"/>
    <w:link w:val="Heading2"/>
    <w:uiPriority w:val="1"/>
    <w:rsid w:val="00B55334"/>
    <w:rPr>
      <w:rFonts w:ascii="Arial" w:eastAsia="Times New Roman" w:hAnsi="Arial" w:cs="Arial"/>
      <w:b/>
      <w:i/>
      <w:color w:val="0070C0"/>
      <w:sz w:val="24"/>
      <w:szCs w:val="20"/>
    </w:rPr>
  </w:style>
  <w:style w:type="character" w:customStyle="1" w:styleId="Heading3Char">
    <w:name w:val="Heading 3 Char"/>
    <w:basedOn w:val="DefaultParagraphFont"/>
    <w:link w:val="Heading3"/>
    <w:uiPriority w:val="1"/>
    <w:rsid w:val="00697C23"/>
    <w:rPr>
      <w:rFonts w:asciiTheme="majorHAnsi" w:eastAsiaTheme="majorEastAsia" w:hAnsiTheme="majorHAnsi" w:cstheme="majorBidi"/>
      <w:b/>
      <w:bCs/>
      <w:color w:val="1E7FB8"/>
      <w:sz w:val="24"/>
      <w:szCs w:val="28"/>
      <w:lang w:eastAsia="zh-CN"/>
    </w:rPr>
  </w:style>
  <w:style w:type="character" w:customStyle="1" w:styleId="Heading4Char">
    <w:name w:val="Heading 4 Char"/>
    <w:basedOn w:val="DefaultParagraphFont"/>
    <w:link w:val="Heading4"/>
    <w:uiPriority w:val="9"/>
    <w:rsid w:val="00697C23"/>
    <w:rPr>
      <w:rFonts w:eastAsiaTheme="minorEastAsia" w:cstheme="minorHAnsi"/>
      <w:b/>
      <w:sz w:val="40"/>
      <w:szCs w:val="24"/>
      <w:lang w:eastAsia="zh-CN"/>
    </w:rPr>
  </w:style>
  <w:style w:type="paragraph" w:customStyle="1" w:styleId="p5">
    <w:name w:val="p5"/>
    <w:basedOn w:val="Normal"/>
    <w:uiPriority w:val="99"/>
    <w:rsid w:val="00697C23"/>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697C23"/>
    <w:pPr>
      <w:widowControl w:val="0"/>
      <w:autoSpaceDE w:val="0"/>
      <w:autoSpaceDN w:val="0"/>
      <w:adjustRightInd w:val="0"/>
      <w:spacing w:after="0" w:line="240" w:lineRule="auto"/>
    </w:pPr>
    <w:rPr>
      <w:rFonts w:ascii="Stempel Garamond" w:eastAsia="Times New Roman" w:hAnsi="Stempel Garamond" w:cs="Stempel Garamond"/>
      <w:color w:val="000000"/>
      <w:sz w:val="24"/>
      <w:szCs w:val="24"/>
    </w:rPr>
  </w:style>
  <w:style w:type="paragraph" w:customStyle="1" w:styleId="p26">
    <w:name w:val="p26"/>
    <w:basedOn w:val="Normal"/>
    <w:uiPriority w:val="99"/>
    <w:rsid w:val="00697C23"/>
    <w:pPr>
      <w:widowControl w:val="0"/>
      <w:tabs>
        <w:tab w:val="left" w:pos="1700"/>
      </w:tabs>
      <w:autoSpaceDE w:val="0"/>
      <w:autoSpaceDN w:val="0"/>
      <w:adjustRightInd w:val="0"/>
      <w:spacing w:after="0" w:line="240" w:lineRule="auto"/>
      <w:ind w:left="260"/>
    </w:pPr>
    <w:rPr>
      <w:rFonts w:ascii="Times New Roman" w:eastAsia="Times New Roman" w:hAnsi="Times New Roman" w:cs="Times New Roman"/>
      <w:sz w:val="24"/>
      <w:szCs w:val="24"/>
    </w:rPr>
  </w:style>
  <w:style w:type="paragraph" w:customStyle="1" w:styleId="Subhead2">
    <w:name w:val="Subhead 2"/>
    <w:basedOn w:val="Normal"/>
    <w:rsid w:val="00697C23"/>
    <w:pPr>
      <w:tabs>
        <w:tab w:val="left" w:pos="567"/>
      </w:tabs>
      <w:spacing w:before="120" w:after="120" w:line="240" w:lineRule="auto"/>
    </w:pPr>
    <w:rPr>
      <w:rFonts w:ascii="StempelGaramond Roman" w:eastAsia="Times New Roman" w:hAnsi="StempelGaramond Roman" w:cs="Times New Roman"/>
      <w:b/>
      <w:snapToGrid w:val="0"/>
      <w:sz w:val="24"/>
      <w:szCs w:val="20"/>
      <w:lang w:val="en-GB"/>
    </w:rPr>
  </w:style>
  <w:style w:type="table" w:customStyle="1" w:styleId="TableGrid1">
    <w:name w:val="Table Grid1"/>
    <w:basedOn w:val="TableNormal"/>
    <w:next w:val="TableGrid"/>
    <w:uiPriority w:val="59"/>
    <w:rsid w:val="00697C2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97C23"/>
  </w:style>
  <w:style w:type="paragraph" w:styleId="BodyText">
    <w:name w:val="Body Text"/>
    <w:basedOn w:val="Normal"/>
    <w:link w:val="BodyTextChar"/>
    <w:qFormat/>
    <w:rsid w:val="00697C23"/>
    <w:pPr>
      <w:widowControl w:val="0"/>
      <w:spacing w:after="0" w:line="240" w:lineRule="auto"/>
      <w:ind w:left="120"/>
    </w:pPr>
    <w:rPr>
      <w:rFonts w:ascii="Arial" w:eastAsia="Arial" w:hAnsi="Arial" w:cstheme="minorHAnsi"/>
      <w:sz w:val="24"/>
      <w:szCs w:val="24"/>
    </w:rPr>
  </w:style>
  <w:style w:type="character" w:customStyle="1" w:styleId="BodyTextChar">
    <w:name w:val="Body Text Char"/>
    <w:basedOn w:val="DefaultParagraphFont"/>
    <w:link w:val="BodyText"/>
    <w:rsid w:val="00697C23"/>
    <w:rPr>
      <w:rFonts w:ascii="Arial" w:eastAsia="Arial" w:hAnsi="Arial" w:cstheme="minorHAnsi"/>
      <w:sz w:val="24"/>
      <w:szCs w:val="24"/>
    </w:rPr>
  </w:style>
  <w:style w:type="paragraph" w:customStyle="1" w:styleId="TableParagraph">
    <w:name w:val="Table Paragraph"/>
    <w:basedOn w:val="Normal"/>
    <w:uiPriority w:val="1"/>
    <w:qFormat/>
    <w:rsid w:val="00697C23"/>
    <w:pPr>
      <w:widowControl w:val="0"/>
      <w:spacing w:after="0" w:line="240" w:lineRule="auto"/>
    </w:pPr>
    <w:rPr>
      <w:rFonts w:eastAsia="Calibri" w:cstheme="minorHAnsi"/>
      <w:sz w:val="24"/>
      <w:szCs w:val="24"/>
    </w:rPr>
  </w:style>
  <w:style w:type="table" w:customStyle="1" w:styleId="TableGrid2">
    <w:name w:val="Table Grid2"/>
    <w:basedOn w:val="TableNormal"/>
    <w:next w:val="TableGrid"/>
    <w:uiPriority w:val="59"/>
    <w:rsid w:val="00697C23"/>
    <w:pPr>
      <w:widowControl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697C23"/>
    <w:rPr>
      <w:color w:val="0000FF"/>
      <w:u w:val="single"/>
    </w:rPr>
  </w:style>
  <w:style w:type="character" w:customStyle="1" w:styleId="BalloonTextChar1">
    <w:name w:val="Balloon Text Char1"/>
    <w:basedOn w:val="DefaultParagraphFont"/>
    <w:uiPriority w:val="99"/>
    <w:semiHidden/>
    <w:rsid w:val="00697C23"/>
    <w:rPr>
      <w:rFonts w:ascii="Tahoma" w:hAnsi="Tahoma" w:cs="Tahoma"/>
      <w:sz w:val="16"/>
      <w:szCs w:val="16"/>
    </w:rPr>
  </w:style>
  <w:style w:type="character" w:styleId="FollowedHyperlink">
    <w:name w:val="FollowedHyperlink"/>
    <w:basedOn w:val="DefaultParagraphFont"/>
    <w:uiPriority w:val="99"/>
    <w:rsid w:val="00697C23"/>
    <w:rPr>
      <w:color w:val="800080"/>
      <w:u w:val="single"/>
    </w:rPr>
  </w:style>
  <w:style w:type="paragraph" w:styleId="Salutation">
    <w:name w:val="Salutation"/>
    <w:basedOn w:val="Normal"/>
    <w:next w:val="Normal"/>
    <w:link w:val="SalutationChar"/>
    <w:rsid w:val="00697C23"/>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697C23"/>
    <w:rPr>
      <w:rFonts w:ascii="Arial" w:eastAsia="Times New Roman" w:hAnsi="Arial" w:cs="Times New Roman"/>
      <w:spacing w:val="-5"/>
      <w:sz w:val="20"/>
      <w:szCs w:val="20"/>
    </w:rPr>
  </w:style>
  <w:style w:type="paragraph" w:styleId="Date">
    <w:name w:val="Date"/>
    <w:basedOn w:val="Normal"/>
    <w:next w:val="Normal"/>
    <w:link w:val="DateChar"/>
    <w:rsid w:val="00697C23"/>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697C23"/>
    <w:rPr>
      <w:rFonts w:ascii="Arial" w:eastAsia="Times New Roman" w:hAnsi="Arial" w:cs="Times New Roman"/>
      <w:spacing w:val="-5"/>
      <w:sz w:val="20"/>
      <w:szCs w:val="20"/>
    </w:rPr>
  </w:style>
  <w:style w:type="paragraph" w:customStyle="1" w:styleId="InsideAddress">
    <w:name w:val="Inside Address"/>
    <w:basedOn w:val="Normal"/>
    <w:rsid w:val="00697C23"/>
    <w:pPr>
      <w:spacing w:after="0" w:line="220" w:lineRule="atLeast"/>
      <w:jc w:val="both"/>
    </w:pPr>
    <w:rPr>
      <w:rFonts w:ascii="Arial" w:eastAsia="Times New Roman" w:hAnsi="Arial" w:cs="Times New Roman"/>
      <w:spacing w:val="-5"/>
      <w:sz w:val="20"/>
      <w:szCs w:val="20"/>
    </w:rPr>
  </w:style>
  <w:style w:type="paragraph" w:styleId="NormalWeb">
    <w:name w:val="Normal (Web)"/>
    <w:basedOn w:val="Normal"/>
    <w:uiPriority w:val="99"/>
    <w:unhideWhenUsed/>
    <w:rsid w:val="00697C23"/>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HTMLCite">
    <w:name w:val="HTML Cite"/>
    <w:basedOn w:val="DefaultParagraphFont"/>
    <w:uiPriority w:val="99"/>
    <w:unhideWhenUsed/>
    <w:rsid w:val="00697C23"/>
    <w:rPr>
      <w:i/>
      <w:iCs/>
    </w:rPr>
  </w:style>
  <w:style w:type="character" w:customStyle="1" w:styleId="mrquestiontext1">
    <w:name w:val="mrquestiontext1"/>
    <w:basedOn w:val="DefaultParagraphFont"/>
    <w:rsid w:val="00697C23"/>
    <w:rPr>
      <w:rFonts w:ascii="Arial" w:hAnsi="Arial" w:cs="Arial" w:hint="default"/>
      <w:i w:val="0"/>
      <w:iCs w:val="0"/>
      <w:sz w:val="24"/>
      <w:szCs w:val="24"/>
    </w:rPr>
  </w:style>
  <w:style w:type="character" w:styleId="Hyperlink">
    <w:name w:val="Hyperlink"/>
    <w:basedOn w:val="DefaultParagraphFont"/>
    <w:uiPriority w:val="99"/>
    <w:unhideWhenUsed/>
    <w:rsid w:val="00697C23"/>
    <w:rPr>
      <w:color w:val="0563C1" w:themeColor="hyperlink"/>
      <w:u w:val="single"/>
    </w:rPr>
  </w:style>
  <w:style w:type="paragraph" w:styleId="BodyText2">
    <w:name w:val="Body Text 2"/>
    <w:basedOn w:val="Normal"/>
    <w:link w:val="BodyText2Char"/>
    <w:uiPriority w:val="99"/>
    <w:unhideWhenUsed/>
    <w:rsid w:val="00697C23"/>
    <w:pPr>
      <w:spacing w:after="0" w:line="240" w:lineRule="auto"/>
      <w:jc w:val="center"/>
    </w:pPr>
    <w:rPr>
      <w:rFonts w:eastAsiaTheme="minorEastAsia" w:cstheme="minorHAnsi"/>
      <w:b/>
      <w:sz w:val="40"/>
      <w:szCs w:val="24"/>
      <w:lang w:eastAsia="zh-CN"/>
    </w:rPr>
  </w:style>
  <w:style w:type="character" w:customStyle="1" w:styleId="BodyText2Char">
    <w:name w:val="Body Text 2 Char"/>
    <w:basedOn w:val="DefaultParagraphFont"/>
    <w:link w:val="BodyText2"/>
    <w:uiPriority w:val="99"/>
    <w:rsid w:val="00697C23"/>
    <w:rPr>
      <w:rFonts w:eastAsiaTheme="minorEastAsia" w:cstheme="minorHAnsi"/>
      <w:b/>
      <w:sz w:val="40"/>
      <w:szCs w:val="24"/>
      <w:lang w:eastAsia="zh-CN"/>
    </w:rPr>
  </w:style>
  <w:style w:type="paragraph" w:styleId="TOCHeading">
    <w:name w:val="TOC Heading"/>
    <w:basedOn w:val="Heading1"/>
    <w:next w:val="Normal"/>
    <w:uiPriority w:val="39"/>
    <w:unhideWhenUsed/>
    <w:qFormat/>
    <w:rsid w:val="00697C23"/>
    <w:pPr>
      <w:outlineLvl w:val="9"/>
    </w:pPr>
    <w:rPr>
      <w:caps/>
      <w:sz w:val="28"/>
      <w:lang w:eastAsia="ja-JP"/>
    </w:rPr>
  </w:style>
  <w:style w:type="paragraph" w:styleId="TOC1">
    <w:name w:val="toc 1"/>
    <w:basedOn w:val="Normal"/>
    <w:next w:val="Normal"/>
    <w:autoRedefine/>
    <w:uiPriority w:val="39"/>
    <w:unhideWhenUsed/>
    <w:qFormat/>
    <w:rsid w:val="00697C23"/>
    <w:pPr>
      <w:spacing w:after="100" w:line="240" w:lineRule="auto"/>
    </w:pPr>
    <w:rPr>
      <w:rFonts w:eastAsiaTheme="minorEastAsia" w:cstheme="minorHAnsi"/>
      <w:sz w:val="24"/>
      <w:szCs w:val="24"/>
      <w:lang w:eastAsia="zh-CN"/>
    </w:rPr>
  </w:style>
  <w:style w:type="paragraph" w:styleId="TOC3">
    <w:name w:val="toc 3"/>
    <w:basedOn w:val="Normal"/>
    <w:next w:val="Normal"/>
    <w:autoRedefine/>
    <w:uiPriority w:val="39"/>
    <w:unhideWhenUsed/>
    <w:qFormat/>
    <w:rsid w:val="00697C23"/>
    <w:pPr>
      <w:tabs>
        <w:tab w:val="left" w:pos="1873"/>
        <w:tab w:val="right" w:leader="dot" w:pos="9629"/>
      </w:tabs>
      <w:spacing w:after="100" w:line="240" w:lineRule="auto"/>
      <w:ind w:left="1873" w:hanging="1433"/>
    </w:pPr>
    <w:rPr>
      <w:rFonts w:eastAsiaTheme="minorEastAsia" w:cstheme="minorHAnsi"/>
      <w:sz w:val="24"/>
      <w:szCs w:val="24"/>
      <w:lang w:eastAsia="zh-CN"/>
    </w:rPr>
  </w:style>
  <w:style w:type="paragraph" w:styleId="TOC2">
    <w:name w:val="toc 2"/>
    <w:basedOn w:val="Normal"/>
    <w:next w:val="Normal"/>
    <w:autoRedefine/>
    <w:uiPriority w:val="39"/>
    <w:unhideWhenUsed/>
    <w:qFormat/>
    <w:rsid w:val="00697C23"/>
    <w:pPr>
      <w:spacing w:after="100" w:line="240" w:lineRule="auto"/>
      <w:ind w:left="220"/>
    </w:pPr>
    <w:rPr>
      <w:rFonts w:eastAsiaTheme="minorEastAsia" w:cstheme="minorHAnsi"/>
      <w:sz w:val="24"/>
      <w:szCs w:val="24"/>
      <w:lang w:val="en-GB" w:eastAsia="en-GB"/>
    </w:rPr>
  </w:style>
  <w:style w:type="paragraph" w:styleId="TOC4">
    <w:name w:val="toc 4"/>
    <w:basedOn w:val="Normal"/>
    <w:next w:val="Normal"/>
    <w:autoRedefine/>
    <w:uiPriority w:val="39"/>
    <w:unhideWhenUsed/>
    <w:rsid w:val="00697C23"/>
    <w:pPr>
      <w:spacing w:after="100" w:line="240" w:lineRule="auto"/>
      <w:ind w:left="660"/>
    </w:pPr>
    <w:rPr>
      <w:rFonts w:eastAsiaTheme="minorEastAsia" w:cstheme="minorHAnsi"/>
      <w:sz w:val="24"/>
      <w:szCs w:val="24"/>
      <w:lang w:val="en-GB" w:eastAsia="en-GB"/>
    </w:rPr>
  </w:style>
  <w:style w:type="paragraph" w:styleId="TOC5">
    <w:name w:val="toc 5"/>
    <w:basedOn w:val="Normal"/>
    <w:next w:val="Normal"/>
    <w:autoRedefine/>
    <w:uiPriority w:val="39"/>
    <w:unhideWhenUsed/>
    <w:rsid w:val="00697C23"/>
    <w:pPr>
      <w:spacing w:after="100" w:line="240" w:lineRule="auto"/>
      <w:ind w:left="880"/>
    </w:pPr>
    <w:rPr>
      <w:rFonts w:eastAsiaTheme="minorEastAsia" w:cstheme="minorHAnsi"/>
      <w:sz w:val="24"/>
      <w:szCs w:val="24"/>
      <w:lang w:val="en-GB" w:eastAsia="en-GB"/>
    </w:rPr>
  </w:style>
  <w:style w:type="paragraph" w:styleId="TOC6">
    <w:name w:val="toc 6"/>
    <w:basedOn w:val="Normal"/>
    <w:next w:val="Normal"/>
    <w:autoRedefine/>
    <w:uiPriority w:val="39"/>
    <w:unhideWhenUsed/>
    <w:rsid w:val="00697C23"/>
    <w:pPr>
      <w:spacing w:after="100" w:line="240" w:lineRule="auto"/>
      <w:ind w:left="1100"/>
    </w:pPr>
    <w:rPr>
      <w:rFonts w:eastAsiaTheme="minorEastAsia" w:cstheme="minorHAnsi"/>
      <w:sz w:val="24"/>
      <w:szCs w:val="24"/>
      <w:lang w:val="en-GB" w:eastAsia="en-GB"/>
    </w:rPr>
  </w:style>
  <w:style w:type="paragraph" w:styleId="TOC7">
    <w:name w:val="toc 7"/>
    <w:basedOn w:val="Normal"/>
    <w:next w:val="Normal"/>
    <w:autoRedefine/>
    <w:uiPriority w:val="39"/>
    <w:unhideWhenUsed/>
    <w:rsid w:val="00697C23"/>
    <w:pPr>
      <w:spacing w:after="100" w:line="240" w:lineRule="auto"/>
      <w:ind w:left="1320"/>
    </w:pPr>
    <w:rPr>
      <w:rFonts w:eastAsiaTheme="minorEastAsia" w:cstheme="minorHAnsi"/>
      <w:sz w:val="24"/>
      <w:szCs w:val="24"/>
      <w:lang w:val="en-GB" w:eastAsia="en-GB"/>
    </w:rPr>
  </w:style>
  <w:style w:type="paragraph" w:styleId="TOC8">
    <w:name w:val="toc 8"/>
    <w:basedOn w:val="Normal"/>
    <w:next w:val="Normal"/>
    <w:autoRedefine/>
    <w:uiPriority w:val="39"/>
    <w:unhideWhenUsed/>
    <w:rsid w:val="00697C23"/>
    <w:pPr>
      <w:spacing w:after="100" w:line="240" w:lineRule="auto"/>
      <w:ind w:left="1540"/>
    </w:pPr>
    <w:rPr>
      <w:rFonts w:eastAsiaTheme="minorEastAsia" w:cstheme="minorHAnsi"/>
      <w:sz w:val="24"/>
      <w:szCs w:val="24"/>
      <w:lang w:val="en-GB" w:eastAsia="en-GB"/>
    </w:rPr>
  </w:style>
  <w:style w:type="paragraph" w:styleId="TOC9">
    <w:name w:val="toc 9"/>
    <w:basedOn w:val="Normal"/>
    <w:next w:val="Normal"/>
    <w:autoRedefine/>
    <w:uiPriority w:val="39"/>
    <w:unhideWhenUsed/>
    <w:rsid w:val="00697C23"/>
    <w:pPr>
      <w:spacing w:after="100" w:line="240" w:lineRule="auto"/>
      <w:ind w:left="1760"/>
    </w:pPr>
    <w:rPr>
      <w:rFonts w:eastAsiaTheme="minorEastAsia" w:cstheme="minorHAnsi"/>
      <w:sz w:val="24"/>
      <w:szCs w:val="24"/>
      <w:lang w:val="en-GB" w:eastAsia="en-GB"/>
    </w:rPr>
  </w:style>
  <w:style w:type="paragraph" w:styleId="Title">
    <w:name w:val="Title"/>
    <w:next w:val="Normal"/>
    <w:link w:val="TitleChar"/>
    <w:uiPriority w:val="10"/>
    <w:qFormat/>
    <w:rsid w:val="00697C23"/>
    <w:pPr>
      <w:spacing w:after="200" w:line="276" w:lineRule="auto"/>
      <w:jc w:val="center"/>
    </w:pPr>
    <w:rPr>
      <w:rFonts w:asciiTheme="majorHAnsi" w:eastAsiaTheme="majorEastAsia" w:hAnsiTheme="majorHAnsi" w:cstheme="majorBidi"/>
      <w:b/>
      <w:bCs/>
      <w:caps/>
      <w:color w:val="1E7FB8"/>
      <w:sz w:val="96"/>
      <w:szCs w:val="28"/>
      <w:lang w:eastAsia="zh-CN"/>
    </w:rPr>
  </w:style>
  <w:style w:type="character" w:customStyle="1" w:styleId="TitleChar">
    <w:name w:val="Title Char"/>
    <w:basedOn w:val="DefaultParagraphFont"/>
    <w:link w:val="Title"/>
    <w:uiPriority w:val="10"/>
    <w:rsid w:val="00697C23"/>
    <w:rPr>
      <w:rFonts w:asciiTheme="majorHAnsi" w:eastAsiaTheme="majorEastAsia" w:hAnsiTheme="majorHAnsi" w:cstheme="majorBidi"/>
      <w:b/>
      <w:bCs/>
      <w:caps/>
      <w:color w:val="1E7FB8"/>
      <w:sz w:val="96"/>
      <w:szCs w:val="28"/>
      <w:lang w:eastAsia="zh-CN"/>
    </w:rPr>
  </w:style>
  <w:style w:type="paragraph" w:styleId="EndnoteText">
    <w:name w:val="endnote text"/>
    <w:basedOn w:val="Normal"/>
    <w:link w:val="EndnoteTextChar"/>
    <w:uiPriority w:val="99"/>
    <w:semiHidden/>
    <w:unhideWhenUsed/>
    <w:rsid w:val="00697C23"/>
    <w:pPr>
      <w:spacing w:after="0" w:line="240" w:lineRule="auto"/>
    </w:pPr>
    <w:rPr>
      <w:rFonts w:eastAsiaTheme="minorEastAsia" w:cstheme="minorHAnsi"/>
      <w:sz w:val="20"/>
      <w:szCs w:val="20"/>
      <w:lang w:eastAsia="zh-CN"/>
    </w:rPr>
  </w:style>
  <w:style w:type="character" w:customStyle="1" w:styleId="EndnoteTextChar">
    <w:name w:val="Endnote Text Char"/>
    <w:basedOn w:val="DefaultParagraphFont"/>
    <w:link w:val="EndnoteText"/>
    <w:uiPriority w:val="99"/>
    <w:semiHidden/>
    <w:rsid w:val="00697C23"/>
    <w:rPr>
      <w:rFonts w:eastAsiaTheme="minorEastAsia" w:cstheme="minorHAnsi"/>
      <w:sz w:val="20"/>
      <w:szCs w:val="20"/>
      <w:lang w:eastAsia="zh-CN"/>
    </w:rPr>
  </w:style>
  <w:style w:type="character" w:styleId="EndnoteReference">
    <w:name w:val="endnote reference"/>
    <w:basedOn w:val="DefaultParagraphFont"/>
    <w:uiPriority w:val="99"/>
    <w:semiHidden/>
    <w:unhideWhenUsed/>
    <w:rsid w:val="00697C23"/>
    <w:rPr>
      <w:vertAlign w:val="superscript"/>
    </w:rPr>
  </w:style>
  <w:style w:type="character" w:styleId="IntenseEmphasis">
    <w:name w:val="Intense Emphasis"/>
    <w:uiPriority w:val="21"/>
    <w:qFormat/>
    <w:rsid w:val="00697C23"/>
    <w:rPr>
      <w:rFonts w:asciiTheme="majorHAnsi" w:hAnsiTheme="majorHAnsi"/>
      <w:sz w:val="28"/>
    </w:rPr>
  </w:style>
  <w:style w:type="paragraph" w:customStyle="1" w:styleId="tablecontent">
    <w:name w:val="table content"/>
    <w:basedOn w:val="Normal"/>
    <w:qFormat/>
    <w:rsid w:val="00697C23"/>
    <w:pPr>
      <w:spacing w:after="0" w:line="240" w:lineRule="auto"/>
      <w:ind w:left="170"/>
    </w:pPr>
    <w:rPr>
      <w:rFonts w:eastAsiaTheme="minorEastAsia" w:cstheme="minorHAnsi"/>
      <w:sz w:val="24"/>
      <w:szCs w:val="24"/>
    </w:rPr>
  </w:style>
  <w:style w:type="paragraph" w:customStyle="1" w:styleId="Style2">
    <w:name w:val="Style2"/>
    <w:basedOn w:val="Heading3"/>
    <w:link w:val="Style2Char"/>
    <w:qFormat/>
    <w:rsid w:val="00697C23"/>
  </w:style>
  <w:style w:type="character" w:customStyle="1" w:styleId="Style2Char">
    <w:name w:val="Style2 Char"/>
    <w:basedOn w:val="Heading3Char"/>
    <w:link w:val="Style2"/>
    <w:rsid w:val="00697C23"/>
    <w:rPr>
      <w:rFonts w:asciiTheme="majorHAnsi" w:eastAsiaTheme="majorEastAsia" w:hAnsiTheme="majorHAnsi" w:cstheme="majorBidi"/>
      <w:b/>
      <w:bCs/>
      <w:color w:val="1E7FB8"/>
      <w:sz w:val="24"/>
      <w:szCs w:val="28"/>
      <w:lang w:eastAsia="zh-CN"/>
    </w:rPr>
  </w:style>
  <w:style w:type="paragraph" w:styleId="Quote">
    <w:name w:val="Quote"/>
    <w:basedOn w:val="Normal"/>
    <w:next w:val="Normal"/>
    <w:link w:val="QuoteChar"/>
    <w:uiPriority w:val="29"/>
    <w:qFormat/>
    <w:rsid w:val="00697C23"/>
    <w:pPr>
      <w:spacing w:after="200" w:line="276" w:lineRule="auto"/>
    </w:pPr>
    <w:rPr>
      <w:rFonts w:eastAsiaTheme="minorEastAsia"/>
      <w:i/>
      <w:iCs/>
      <w:color w:val="000000" w:themeColor="text1"/>
      <w:lang w:eastAsia="ja-JP"/>
    </w:rPr>
  </w:style>
  <w:style w:type="character" w:customStyle="1" w:styleId="QuoteChar">
    <w:name w:val="Quote Char"/>
    <w:basedOn w:val="DefaultParagraphFont"/>
    <w:link w:val="Quote"/>
    <w:uiPriority w:val="29"/>
    <w:rsid w:val="00697C23"/>
    <w:rPr>
      <w:rFonts w:eastAsiaTheme="minorEastAsia"/>
      <w:i/>
      <w:iCs/>
      <w:color w:val="000000" w:themeColor="text1"/>
      <w:lang w:eastAsia="ja-JP"/>
    </w:rPr>
  </w:style>
  <w:style w:type="table" w:styleId="ColorfulGrid-Accent5">
    <w:name w:val="Colorful Grid Accent 5"/>
    <w:basedOn w:val="TableNormal"/>
    <w:uiPriority w:val="73"/>
    <w:rsid w:val="00B85B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3-Accent5">
    <w:name w:val="Medium Grid 3 Accent 5"/>
    <w:basedOn w:val="TableNormal"/>
    <w:uiPriority w:val="69"/>
    <w:rsid w:val="00B85B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numbering" w:customStyle="1" w:styleId="NoList11">
    <w:name w:val="No List11"/>
    <w:next w:val="NoList"/>
    <w:uiPriority w:val="99"/>
    <w:semiHidden/>
    <w:unhideWhenUsed/>
    <w:rsid w:val="005476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6F67"/>
    <w:pPr>
      <w:keepNext/>
      <w:keepLines/>
      <w:pBdr>
        <w:bottom w:val="single" w:sz="18" w:space="1" w:color="1E7FB8"/>
      </w:pBdr>
      <w:spacing w:before="480" w:after="0" w:line="240" w:lineRule="auto"/>
      <w:outlineLvl w:val="0"/>
    </w:pPr>
    <w:rPr>
      <w:rFonts w:asciiTheme="majorHAnsi" w:eastAsiaTheme="majorEastAsia" w:hAnsiTheme="majorHAnsi" w:cstheme="majorBidi"/>
      <w:b/>
      <w:bCs/>
      <w:smallCaps/>
      <w:color w:val="1E7FB8"/>
      <w:sz w:val="36"/>
      <w:szCs w:val="28"/>
      <w:lang w:eastAsia="zh-CN"/>
    </w:rPr>
  </w:style>
  <w:style w:type="paragraph" w:styleId="Heading2">
    <w:name w:val="heading 2"/>
    <w:basedOn w:val="Normal"/>
    <w:next w:val="Normal"/>
    <w:link w:val="Heading2Char"/>
    <w:uiPriority w:val="1"/>
    <w:qFormat/>
    <w:rsid w:val="00B55334"/>
    <w:pPr>
      <w:keepNext/>
      <w:spacing w:after="0" w:line="240" w:lineRule="auto"/>
      <w:outlineLvl w:val="1"/>
    </w:pPr>
    <w:rPr>
      <w:rFonts w:ascii="Arial" w:eastAsia="Times New Roman" w:hAnsi="Arial" w:cs="Arial"/>
      <w:b/>
      <w:i/>
      <w:color w:val="0070C0"/>
      <w:sz w:val="24"/>
      <w:szCs w:val="20"/>
    </w:rPr>
  </w:style>
  <w:style w:type="paragraph" w:styleId="Heading3">
    <w:name w:val="heading 3"/>
    <w:basedOn w:val="Heading1"/>
    <w:next w:val="Normal"/>
    <w:link w:val="Heading3Char"/>
    <w:uiPriority w:val="1"/>
    <w:unhideWhenUsed/>
    <w:qFormat/>
    <w:rsid w:val="00697C23"/>
    <w:pPr>
      <w:pBdr>
        <w:bottom w:val="none" w:sz="0" w:space="0" w:color="auto"/>
      </w:pBdr>
      <w:spacing w:before="120" w:after="120"/>
      <w:outlineLvl w:val="2"/>
    </w:pPr>
    <w:rPr>
      <w:smallCaps w:val="0"/>
      <w:sz w:val="24"/>
    </w:rPr>
  </w:style>
  <w:style w:type="paragraph" w:styleId="Heading4">
    <w:name w:val="heading 4"/>
    <w:basedOn w:val="Normal"/>
    <w:next w:val="Normal"/>
    <w:link w:val="Heading4Char"/>
    <w:uiPriority w:val="9"/>
    <w:unhideWhenUsed/>
    <w:qFormat/>
    <w:rsid w:val="00697C23"/>
    <w:pPr>
      <w:keepNext/>
      <w:spacing w:after="0" w:line="240" w:lineRule="auto"/>
      <w:jc w:val="center"/>
      <w:outlineLvl w:val="3"/>
    </w:pPr>
    <w:rPr>
      <w:rFonts w:eastAsiaTheme="minorEastAsia" w:cstheme="minorHAnsi"/>
      <w:b/>
      <w:sz w:val="4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CA3"/>
    <w:pPr>
      <w:ind w:left="720"/>
      <w:contextualSpacing/>
    </w:pPr>
  </w:style>
  <w:style w:type="paragraph" w:styleId="Header">
    <w:name w:val="header"/>
    <w:basedOn w:val="Normal"/>
    <w:link w:val="HeaderChar"/>
    <w:uiPriority w:val="99"/>
    <w:unhideWhenUsed/>
    <w:rsid w:val="00F96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AD6"/>
  </w:style>
  <w:style w:type="paragraph" w:styleId="Footer">
    <w:name w:val="footer"/>
    <w:basedOn w:val="Normal"/>
    <w:link w:val="FooterChar"/>
    <w:uiPriority w:val="99"/>
    <w:unhideWhenUsed/>
    <w:rsid w:val="00F96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AD6"/>
  </w:style>
  <w:style w:type="paragraph" w:styleId="BalloonText">
    <w:name w:val="Balloon Text"/>
    <w:basedOn w:val="Normal"/>
    <w:link w:val="BalloonTextChar"/>
    <w:semiHidden/>
    <w:unhideWhenUsed/>
    <w:rsid w:val="000E7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E7430"/>
    <w:rPr>
      <w:rFonts w:ascii="Segoe UI" w:hAnsi="Segoe UI" w:cs="Segoe UI"/>
      <w:sz w:val="18"/>
      <w:szCs w:val="18"/>
    </w:rPr>
  </w:style>
  <w:style w:type="character" w:styleId="CommentReference">
    <w:name w:val="annotation reference"/>
    <w:basedOn w:val="DefaultParagraphFont"/>
    <w:uiPriority w:val="99"/>
    <w:unhideWhenUsed/>
    <w:rsid w:val="00682952"/>
    <w:rPr>
      <w:sz w:val="16"/>
      <w:szCs w:val="16"/>
    </w:rPr>
  </w:style>
  <w:style w:type="paragraph" w:styleId="CommentText">
    <w:name w:val="annotation text"/>
    <w:basedOn w:val="Normal"/>
    <w:link w:val="CommentTextChar"/>
    <w:uiPriority w:val="99"/>
    <w:unhideWhenUsed/>
    <w:rsid w:val="00682952"/>
    <w:pPr>
      <w:spacing w:line="240" w:lineRule="auto"/>
    </w:pPr>
    <w:rPr>
      <w:sz w:val="20"/>
      <w:szCs w:val="20"/>
    </w:rPr>
  </w:style>
  <w:style w:type="character" w:customStyle="1" w:styleId="CommentTextChar">
    <w:name w:val="Comment Text Char"/>
    <w:basedOn w:val="DefaultParagraphFont"/>
    <w:link w:val="CommentText"/>
    <w:uiPriority w:val="99"/>
    <w:rsid w:val="00682952"/>
    <w:rPr>
      <w:sz w:val="20"/>
      <w:szCs w:val="20"/>
    </w:rPr>
  </w:style>
  <w:style w:type="paragraph" w:styleId="CommentSubject">
    <w:name w:val="annotation subject"/>
    <w:basedOn w:val="CommentText"/>
    <w:next w:val="CommentText"/>
    <w:link w:val="CommentSubjectChar"/>
    <w:unhideWhenUsed/>
    <w:rsid w:val="00682952"/>
    <w:rPr>
      <w:b/>
      <w:bCs/>
    </w:rPr>
  </w:style>
  <w:style w:type="character" w:customStyle="1" w:styleId="CommentSubjectChar">
    <w:name w:val="Comment Subject Char"/>
    <w:basedOn w:val="CommentTextChar"/>
    <w:link w:val="CommentSubject"/>
    <w:rsid w:val="00682952"/>
    <w:rPr>
      <w:b/>
      <w:bCs/>
      <w:sz w:val="20"/>
      <w:szCs w:val="20"/>
    </w:rPr>
  </w:style>
  <w:style w:type="table" w:styleId="TableGrid">
    <w:name w:val="Table Grid"/>
    <w:basedOn w:val="TableNormal"/>
    <w:rsid w:val="006B4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095F"/>
    <w:pPr>
      <w:spacing w:after="0" w:line="240" w:lineRule="auto"/>
    </w:pPr>
  </w:style>
  <w:style w:type="paragraph" w:styleId="Subtitle">
    <w:name w:val="Subtitle"/>
    <w:basedOn w:val="Normal"/>
    <w:next w:val="Normal"/>
    <w:link w:val="SubtitleChar"/>
    <w:uiPriority w:val="11"/>
    <w:qFormat/>
    <w:rsid w:val="005556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5561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E6F67"/>
    <w:rPr>
      <w:rFonts w:asciiTheme="majorHAnsi" w:eastAsiaTheme="majorEastAsia" w:hAnsiTheme="majorHAnsi" w:cstheme="majorBidi"/>
      <w:b/>
      <w:bCs/>
      <w:smallCaps/>
      <w:color w:val="1E7FB8"/>
      <w:sz w:val="36"/>
      <w:szCs w:val="28"/>
      <w:lang w:eastAsia="zh-CN"/>
    </w:rPr>
  </w:style>
  <w:style w:type="paragraph" w:styleId="FootnoteText">
    <w:name w:val="footnote text"/>
    <w:basedOn w:val="Normal"/>
    <w:link w:val="FootnoteTextChar"/>
    <w:uiPriority w:val="99"/>
    <w:rsid w:val="001439D1"/>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1439D1"/>
    <w:rPr>
      <w:rFonts w:ascii="Arial" w:eastAsia="Times New Roman" w:hAnsi="Arial" w:cs="Times New Roman"/>
      <w:sz w:val="20"/>
      <w:szCs w:val="20"/>
    </w:rPr>
  </w:style>
  <w:style w:type="character" w:styleId="FootnoteReference">
    <w:name w:val="footnote reference"/>
    <w:basedOn w:val="DefaultParagraphFont"/>
    <w:uiPriority w:val="99"/>
    <w:rsid w:val="001439D1"/>
    <w:rPr>
      <w:vertAlign w:val="superscript"/>
    </w:rPr>
  </w:style>
  <w:style w:type="paragraph" w:styleId="NoSpacing">
    <w:name w:val="No Spacing"/>
    <w:link w:val="NoSpacingChar"/>
    <w:uiPriority w:val="1"/>
    <w:qFormat/>
    <w:rsid w:val="00A21ECD"/>
    <w:pPr>
      <w:spacing w:after="0" w:line="240" w:lineRule="auto"/>
      <w:jc w:val="both"/>
    </w:pPr>
    <w:rPr>
      <w:rFonts w:ascii="Arial" w:eastAsia="Times New Roman" w:hAnsi="Arial" w:cs="Times New Roman"/>
      <w:spacing w:val="-5"/>
      <w:sz w:val="20"/>
      <w:szCs w:val="20"/>
    </w:rPr>
  </w:style>
  <w:style w:type="character" w:customStyle="1" w:styleId="NoSpacingChar">
    <w:name w:val="No Spacing Char"/>
    <w:basedOn w:val="DefaultParagraphFont"/>
    <w:link w:val="NoSpacing"/>
    <w:uiPriority w:val="1"/>
    <w:rsid w:val="00A21ECD"/>
    <w:rPr>
      <w:rFonts w:ascii="Arial" w:eastAsia="Times New Roman" w:hAnsi="Arial" w:cs="Times New Roman"/>
      <w:spacing w:val="-5"/>
      <w:sz w:val="20"/>
      <w:szCs w:val="20"/>
    </w:rPr>
  </w:style>
  <w:style w:type="character" w:customStyle="1" w:styleId="Heading2Char">
    <w:name w:val="Heading 2 Char"/>
    <w:basedOn w:val="DefaultParagraphFont"/>
    <w:link w:val="Heading2"/>
    <w:uiPriority w:val="1"/>
    <w:rsid w:val="00B55334"/>
    <w:rPr>
      <w:rFonts w:ascii="Arial" w:eastAsia="Times New Roman" w:hAnsi="Arial" w:cs="Arial"/>
      <w:b/>
      <w:i/>
      <w:color w:val="0070C0"/>
      <w:sz w:val="24"/>
      <w:szCs w:val="20"/>
    </w:rPr>
  </w:style>
  <w:style w:type="character" w:customStyle="1" w:styleId="Heading3Char">
    <w:name w:val="Heading 3 Char"/>
    <w:basedOn w:val="DefaultParagraphFont"/>
    <w:link w:val="Heading3"/>
    <w:uiPriority w:val="1"/>
    <w:rsid w:val="00697C23"/>
    <w:rPr>
      <w:rFonts w:asciiTheme="majorHAnsi" w:eastAsiaTheme="majorEastAsia" w:hAnsiTheme="majorHAnsi" w:cstheme="majorBidi"/>
      <w:b/>
      <w:bCs/>
      <w:color w:val="1E7FB8"/>
      <w:sz w:val="24"/>
      <w:szCs w:val="28"/>
      <w:lang w:eastAsia="zh-CN"/>
    </w:rPr>
  </w:style>
  <w:style w:type="character" w:customStyle="1" w:styleId="Heading4Char">
    <w:name w:val="Heading 4 Char"/>
    <w:basedOn w:val="DefaultParagraphFont"/>
    <w:link w:val="Heading4"/>
    <w:uiPriority w:val="9"/>
    <w:rsid w:val="00697C23"/>
    <w:rPr>
      <w:rFonts w:eastAsiaTheme="minorEastAsia" w:cstheme="minorHAnsi"/>
      <w:b/>
      <w:sz w:val="40"/>
      <w:szCs w:val="24"/>
      <w:lang w:eastAsia="zh-CN"/>
    </w:rPr>
  </w:style>
  <w:style w:type="paragraph" w:customStyle="1" w:styleId="p5">
    <w:name w:val="p5"/>
    <w:basedOn w:val="Normal"/>
    <w:uiPriority w:val="99"/>
    <w:rsid w:val="00697C23"/>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697C23"/>
    <w:pPr>
      <w:widowControl w:val="0"/>
      <w:autoSpaceDE w:val="0"/>
      <w:autoSpaceDN w:val="0"/>
      <w:adjustRightInd w:val="0"/>
      <w:spacing w:after="0" w:line="240" w:lineRule="auto"/>
    </w:pPr>
    <w:rPr>
      <w:rFonts w:ascii="Stempel Garamond" w:eastAsia="Times New Roman" w:hAnsi="Stempel Garamond" w:cs="Stempel Garamond"/>
      <w:color w:val="000000"/>
      <w:sz w:val="24"/>
      <w:szCs w:val="24"/>
    </w:rPr>
  </w:style>
  <w:style w:type="paragraph" w:customStyle="1" w:styleId="p26">
    <w:name w:val="p26"/>
    <w:basedOn w:val="Normal"/>
    <w:uiPriority w:val="99"/>
    <w:rsid w:val="00697C23"/>
    <w:pPr>
      <w:widowControl w:val="0"/>
      <w:tabs>
        <w:tab w:val="left" w:pos="1700"/>
      </w:tabs>
      <w:autoSpaceDE w:val="0"/>
      <w:autoSpaceDN w:val="0"/>
      <w:adjustRightInd w:val="0"/>
      <w:spacing w:after="0" w:line="240" w:lineRule="auto"/>
      <w:ind w:left="260"/>
    </w:pPr>
    <w:rPr>
      <w:rFonts w:ascii="Times New Roman" w:eastAsia="Times New Roman" w:hAnsi="Times New Roman" w:cs="Times New Roman"/>
      <w:sz w:val="24"/>
      <w:szCs w:val="24"/>
    </w:rPr>
  </w:style>
  <w:style w:type="paragraph" w:customStyle="1" w:styleId="Subhead2">
    <w:name w:val="Subhead 2"/>
    <w:basedOn w:val="Normal"/>
    <w:rsid w:val="00697C23"/>
    <w:pPr>
      <w:tabs>
        <w:tab w:val="left" w:pos="567"/>
      </w:tabs>
      <w:spacing w:before="120" w:after="120" w:line="240" w:lineRule="auto"/>
    </w:pPr>
    <w:rPr>
      <w:rFonts w:ascii="StempelGaramond Roman" w:eastAsia="Times New Roman" w:hAnsi="StempelGaramond Roman" w:cs="Times New Roman"/>
      <w:b/>
      <w:snapToGrid w:val="0"/>
      <w:sz w:val="24"/>
      <w:szCs w:val="20"/>
      <w:lang w:val="en-GB"/>
    </w:rPr>
  </w:style>
  <w:style w:type="table" w:customStyle="1" w:styleId="TableGrid1">
    <w:name w:val="Table Grid1"/>
    <w:basedOn w:val="TableNormal"/>
    <w:next w:val="TableGrid"/>
    <w:uiPriority w:val="59"/>
    <w:rsid w:val="00697C2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97C23"/>
  </w:style>
  <w:style w:type="paragraph" w:styleId="BodyText">
    <w:name w:val="Body Text"/>
    <w:basedOn w:val="Normal"/>
    <w:link w:val="BodyTextChar"/>
    <w:qFormat/>
    <w:rsid w:val="00697C23"/>
    <w:pPr>
      <w:widowControl w:val="0"/>
      <w:spacing w:after="0" w:line="240" w:lineRule="auto"/>
      <w:ind w:left="120"/>
    </w:pPr>
    <w:rPr>
      <w:rFonts w:ascii="Arial" w:eastAsia="Arial" w:hAnsi="Arial" w:cstheme="minorHAnsi"/>
      <w:sz w:val="24"/>
      <w:szCs w:val="24"/>
    </w:rPr>
  </w:style>
  <w:style w:type="character" w:customStyle="1" w:styleId="BodyTextChar">
    <w:name w:val="Body Text Char"/>
    <w:basedOn w:val="DefaultParagraphFont"/>
    <w:link w:val="BodyText"/>
    <w:rsid w:val="00697C23"/>
    <w:rPr>
      <w:rFonts w:ascii="Arial" w:eastAsia="Arial" w:hAnsi="Arial" w:cstheme="minorHAnsi"/>
      <w:sz w:val="24"/>
      <w:szCs w:val="24"/>
    </w:rPr>
  </w:style>
  <w:style w:type="paragraph" w:customStyle="1" w:styleId="TableParagraph">
    <w:name w:val="Table Paragraph"/>
    <w:basedOn w:val="Normal"/>
    <w:uiPriority w:val="1"/>
    <w:qFormat/>
    <w:rsid w:val="00697C23"/>
    <w:pPr>
      <w:widowControl w:val="0"/>
      <w:spacing w:after="0" w:line="240" w:lineRule="auto"/>
    </w:pPr>
    <w:rPr>
      <w:rFonts w:eastAsia="Calibri" w:cstheme="minorHAnsi"/>
      <w:sz w:val="24"/>
      <w:szCs w:val="24"/>
    </w:rPr>
  </w:style>
  <w:style w:type="table" w:customStyle="1" w:styleId="TableGrid2">
    <w:name w:val="Table Grid2"/>
    <w:basedOn w:val="TableNormal"/>
    <w:next w:val="TableGrid"/>
    <w:uiPriority w:val="59"/>
    <w:rsid w:val="00697C23"/>
    <w:pPr>
      <w:widowControl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697C23"/>
    <w:rPr>
      <w:color w:val="0000FF"/>
      <w:u w:val="single"/>
    </w:rPr>
  </w:style>
  <w:style w:type="character" w:customStyle="1" w:styleId="BalloonTextChar1">
    <w:name w:val="Balloon Text Char1"/>
    <w:basedOn w:val="DefaultParagraphFont"/>
    <w:uiPriority w:val="99"/>
    <w:semiHidden/>
    <w:rsid w:val="00697C23"/>
    <w:rPr>
      <w:rFonts w:ascii="Tahoma" w:hAnsi="Tahoma" w:cs="Tahoma"/>
      <w:sz w:val="16"/>
      <w:szCs w:val="16"/>
    </w:rPr>
  </w:style>
  <w:style w:type="character" w:styleId="FollowedHyperlink">
    <w:name w:val="FollowedHyperlink"/>
    <w:basedOn w:val="DefaultParagraphFont"/>
    <w:uiPriority w:val="99"/>
    <w:rsid w:val="00697C23"/>
    <w:rPr>
      <w:color w:val="800080"/>
      <w:u w:val="single"/>
    </w:rPr>
  </w:style>
  <w:style w:type="paragraph" w:styleId="Salutation">
    <w:name w:val="Salutation"/>
    <w:basedOn w:val="Normal"/>
    <w:next w:val="Normal"/>
    <w:link w:val="SalutationChar"/>
    <w:rsid w:val="00697C23"/>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697C23"/>
    <w:rPr>
      <w:rFonts w:ascii="Arial" w:eastAsia="Times New Roman" w:hAnsi="Arial" w:cs="Times New Roman"/>
      <w:spacing w:val="-5"/>
      <w:sz w:val="20"/>
      <w:szCs w:val="20"/>
    </w:rPr>
  </w:style>
  <w:style w:type="paragraph" w:styleId="Date">
    <w:name w:val="Date"/>
    <w:basedOn w:val="Normal"/>
    <w:next w:val="Normal"/>
    <w:link w:val="DateChar"/>
    <w:rsid w:val="00697C23"/>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697C23"/>
    <w:rPr>
      <w:rFonts w:ascii="Arial" w:eastAsia="Times New Roman" w:hAnsi="Arial" w:cs="Times New Roman"/>
      <w:spacing w:val="-5"/>
      <w:sz w:val="20"/>
      <w:szCs w:val="20"/>
    </w:rPr>
  </w:style>
  <w:style w:type="paragraph" w:customStyle="1" w:styleId="InsideAddress">
    <w:name w:val="Inside Address"/>
    <w:basedOn w:val="Normal"/>
    <w:rsid w:val="00697C23"/>
    <w:pPr>
      <w:spacing w:after="0" w:line="220" w:lineRule="atLeast"/>
      <w:jc w:val="both"/>
    </w:pPr>
    <w:rPr>
      <w:rFonts w:ascii="Arial" w:eastAsia="Times New Roman" w:hAnsi="Arial" w:cs="Times New Roman"/>
      <w:spacing w:val="-5"/>
      <w:sz w:val="20"/>
      <w:szCs w:val="20"/>
    </w:rPr>
  </w:style>
  <w:style w:type="paragraph" w:styleId="NormalWeb">
    <w:name w:val="Normal (Web)"/>
    <w:basedOn w:val="Normal"/>
    <w:uiPriority w:val="99"/>
    <w:unhideWhenUsed/>
    <w:rsid w:val="00697C23"/>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HTMLCite">
    <w:name w:val="HTML Cite"/>
    <w:basedOn w:val="DefaultParagraphFont"/>
    <w:uiPriority w:val="99"/>
    <w:unhideWhenUsed/>
    <w:rsid w:val="00697C23"/>
    <w:rPr>
      <w:i/>
      <w:iCs/>
    </w:rPr>
  </w:style>
  <w:style w:type="character" w:customStyle="1" w:styleId="mrquestiontext1">
    <w:name w:val="mrquestiontext1"/>
    <w:basedOn w:val="DefaultParagraphFont"/>
    <w:rsid w:val="00697C23"/>
    <w:rPr>
      <w:rFonts w:ascii="Arial" w:hAnsi="Arial" w:cs="Arial" w:hint="default"/>
      <w:i w:val="0"/>
      <w:iCs w:val="0"/>
      <w:sz w:val="24"/>
      <w:szCs w:val="24"/>
    </w:rPr>
  </w:style>
  <w:style w:type="character" w:styleId="Hyperlink">
    <w:name w:val="Hyperlink"/>
    <w:basedOn w:val="DefaultParagraphFont"/>
    <w:uiPriority w:val="99"/>
    <w:unhideWhenUsed/>
    <w:rsid w:val="00697C23"/>
    <w:rPr>
      <w:color w:val="0563C1" w:themeColor="hyperlink"/>
      <w:u w:val="single"/>
    </w:rPr>
  </w:style>
  <w:style w:type="paragraph" w:styleId="BodyText2">
    <w:name w:val="Body Text 2"/>
    <w:basedOn w:val="Normal"/>
    <w:link w:val="BodyText2Char"/>
    <w:uiPriority w:val="99"/>
    <w:unhideWhenUsed/>
    <w:rsid w:val="00697C23"/>
    <w:pPr>
      <w:spacing w:after="0" w:line="240" w:lineRule="auto"/>
      <w:jc w:val="center"/>
    </w:pPr>
    <w:rPr>
      <w:rFonts w:eastAsiaTheme="minorEastAsia" w:cstheme="minorHAnsi"/>
      <w:b/>
      <w:sz w:val="40"/>
      <w:szCs w:val="24"/>
      <w:lang w:eastAsia="zh-CN"/>
    </w:rPr>
  </w:style>
  <w:style w:type="character" w:customStyle="1" w:styleId="BodyText2Char">
    <w:name w:val="Body Text 2 Char"/>
    <w:basedOn w:val="DefaultParagraphFont"/>
    <w:link w:val="BodyText2"/>
    <w:uiPriority w:val="99"/>
    <w:rsid w:val="00697C23"/>
    <w:rPr>
      <w:rFonts w:eastAsiaTheme="minorEastAsia" w:cstheme="minorHAnsi"/>
      <w:b/>
      <w:sz w:val="40"/>
      <w:szCs w:val="24"/>
      <w:lang w:eastAsia="zh-CN"/>
    </w:rPr>
  </w:style>
  <w:style w:type="paragraph" w:styleId="TOCHeading">
    <w:name w:val="TOC Heading"/>
    <w:basedOn w:val="Heading1"/>
    <w:next w:val="Normal"/>
    <w:uiPriority w:val="39"/>
    <w:unhideWhenUsed/>
    <w:qFormat/>
    <w:rsid w:val="00697C23"/>
    <w:pPr>
      <w:outlineLvl w:val="9"/>
    </w:pPr>
    <w:rPr>
      <w:caps/>
      <w:sz w:val="28"/>
      <w:lang w:eastAsia="ja-JP"/>
    </w:rPr>
  </w:style>
  <w:style w:type="paragraph" w:styleId="TOC1">
    <w:name w:val="toc 1"/>
    <w:basedOn w:val="Normal"/>
    <w:next w:val="Normal"/>
    <w:autoRedefine/>
    <w:uiPriority w:val="39"/>
    <w:unhideWhenUsed/>
    <w:qFormat/>
    <w:rsid w:val="00697C23"/>
    <w:pPr>
      <w:spacing w:after="100" w:line="240" w:lineRule="auto"/>
    </w:pPr>
    <w:rPr>
      <w:rFonts w:eastAsiaTheme="minorEastAsia" w:cstheme="minorHAnsi"/>
      <w:sz w:val="24"/>
      <w:szCs w:val="24"/>
      <w:lang w:eastAsia="zh-CN"/>
    </w:rPr>
  </w:style>
  <w:style w:type="paragraph" w:styleId="TOC3">
    <w:name w:val="toc 3"/>
    <w:basedOn w:val="Normal"/>
    <w:next w:val="Normal"/>
    <w:autoRedefine/>
    <w:uiPriority w:val="39"/>
    <w:unhideWhenUsed/>
    <w:qFormat/>
    <w:rsid w:val="00697C23"/>
    <w:pPr>
      <w:tabs>
        <w:tab w:val="left" w:pos="1873"/>
        <w:tab w:val="right" w:leader="dot" w:pos="9629"/>
      </w:tabs>
      <w:spacing w:after="100" w:line="240" w:lineRule="auto"/>
      <w:ind w:left="1873" w:hanging="1433"/>
    </w:pPr>
    <w:rPr>
      <w:rFonts w:eastAsiaTheme="minorEastAsia" w:cstheme="minorHAnsi"/>
      <w:sz w:val="24"/>
      <w:szCs w:val="24"/>
      <w:lang w:eastAsia="zh-CN"/>
    </w:rPr>
  </w:style>
  <w:style w:type="paragraph" w:styleId="TOC2">
    <w:name w:val="toc 2"/>
    <w:basedOn w:val="Normal"/>
    <w:next w:val="Normal"/>
    <w:autoRedefine/>
    <w:uiPriority w:val="39"/>
    <w:unhideWhenUsed/>
    <w:qFormat/>
    <w:rsid w:val="00697C23"/>
    <w:pPr>
      <w:spacing w:after="100" w:line="240" w:lineRule="auto"/>
      <w:ind w:left="220"/>
    </w:pPr>
    <w:rPr>
      <w:rFonts w:eastAsiaTheme="minorEastAsia" w:cstheme="minorHAnsi"/>
      <w:sz w:val="24"/>
      <w:szCs w:val="24"/>
      <w:lang w:val="en-GB" w:eastAsia="en-GB"/>
    </w:rPr>
  </w:style>
  <w:style w:type="paragraph" w:styleId="TOC4">
    <w:name w:val="toc 4"/>
    <w:basedOn w:val="Normal"/>
    <w:next w:val="Normal"/>
    <w:autoRedefine/>
    <w:uiPriority w:val="39"/>
    <w:unhideWhenUsed/>
    <w:rsid w:val="00697C23"/>
    <w:pPr>
      <w:spacing w:after="100" w:line="240" w:lineRule="auto"/>
      <w:ind w:left="660"/>
    </w:pPr>
    <w:rPr>
      <w:rFonts w:eastAsiaTheme="minorEastAsia" w:cstheme="minorHAnsi"/>
      <w:sz w:val="24"/>
      <w:szCs w:val="24"/>
      <w:lang w:val="en-GB" w:eastAsia="en-GB"/>
    </w:rPr>
  </w:style>
  <w:style w:type="paragraph" w:styleId="TOC5">
    <w:name w:val="toc 5"/>
    <w:basedOn w:val="Normal"/>
    <w:next w:val="Normal"/>
    <w:autoRedefine/>
    <w:uiPriority w:val="39"/>
    <w:unhideWhenUsed/>
    <w:rsid w:val="00697C23"/>
    <w:pPr>
      <w:spacing w:after="100" w:line="240" w:lineRule="auto"/>
      <w:ind w:left="880"/>
    </w:pPr>
    <w:rPr>
      <w:rFonts w:eastAsiaTheme="minorEastAsia" w:cstheme="minorHAnsi"/>
      <w:sz w:val="24"/>
      <w:szCs w:val="24"/>
      <w:lang w:val="en-GB" w:eastAsia="en-GB"/>
    </w:rPr>
  </w:style>
  <w:style w:type="paragraph" w:styleId="TOC6">
    <w:name w:val="toc 6"/>
    <w:basedOn w:val="Normal"/>
    <w:next w:val="Normal"/>
    <w:autoRedefine/>
    <w:uiPriority w:val="39"/>
    <w:unhideWhenUsed/>
    <w:rsid w:val="00697C23"/>
    <w:pPr>
      <w:spacing w:after="100" w:line="240" w:lineRule="auto"/>
      <w:ind w:left="1100"/>
    </w:pPr>
    <w:rPr>
      <w:rFonts w:eastAsiaTheme="minorEastAsia" w:cstheme="minorHAnsi"/>
      <w:sz w:val="24"/>
      <w:szCs w:val="24"/>
      <w:lang w:val="en-GB" w:eastAsia="en-GB"/>
    </w:rPr>
  </w:style>
  <w:style w:type="paragraph" w:styleId="TOC7">
    <w:name w:val="toc 7"/>
    <w:basedOn w:val="Normal"/>
    <w:next w:val="Normal"/>
    <w:autoRedefine/>
    <w:uiPriority w:val="39"/>
    <w:unhideWhenUsed/>
    <w:rsid w:val="00697C23"/>
    <w:pPr>
      <w:spacing w:after="100" w:line="240" w:lineRule="auto"/>
      <w:ind w:left="1320"/>
    </w:pPr>
    <w:rPr>
      <w:rFonts w:eastAsiaTheme="minorEastAsia" w:cstheme="minorHAnsi"/>
      <w:sz w:val="24"/>
      <w:szCs w:val="24"/>
      <w:lang w:val="en-GB" w:eastAsia="en-GB"/>
    </w:rPr>
  </w:style>
  <w:style w:type="paragraph" w:styleId="TOC8">
    <w:name w:val="toc 8"/>
    <w:basedOn w:val="Normal"/>
    <w:next w:val="Normal"/>
    <w:autoRedefine/>
    <w:uiPriority w:val="39"/>
    <w:unhideWhenUsed/>
    <w:rsid w:val="00697C23"/>
    <w:pPr>
      <w:spacing w:after="100" w:line="240" w:lineRule="auto"/>
      <w:ind w:left="1540"/>
    </w:pPr>
    <w:rPr>
      <w:rFonts w:eastAsiaTheme="minorEastAsia" w:cstheme="minorHAnsi"/>
      <w:sz w:val="24"/>
      <w:szCs w:val="24"/>
      <w:lang w:val="en-GB" w:eastAsia="en-GB"/>
    </w:rPr>
  </w:style>
  <w:style w:type="paragraph" w:styleId="TOC9">
    <w:name w:val="toc 9"/>
    <w:basedOn w:val="Normal"/>
    <w:next w:val="Normal"/>
    <w:autoRedefine/>
    <w:uiPriority w:val="39"/>
    <w:unhideWhenUsed/>
    <w:rsid w:val="00697C23"/>
    <w:pPr>
      <w:spacing w:after="100" w:line="240" w:lineRule="auto"/>
      <w:ind w:left="1760"/>
    </w:pPr>
    <w:rPr>
      <w:rFonts w:eastAsiaTheme="minorEastAsia" w:cstheme="minorHAnsi"/>
      <w:sz w:val="24"/>
      <w:szCs w:val="24"/>
      <w:lang w:val="en-GB" w:eastAsia="en-GB"/>
    </w:rPr>
  </w:style>
  <w:style w:type="paragraph" w:styleId="Title">
    <w:name w:val="Title"/>
    <w:next w:val="Normal"/>
    <w:link w:val="TitleChar"/>
    <w:uiPriority w:val="10"/>
    <w:qFormat/>
    <w:rsid w:val="00697C23"/>
    <w:pPr>
      <w:spacing w:after="200" w:line="276" w:lineRule="auto"/>
      <w:jc w:val="center"/>
    </w:pPr>
    <w:rPr>
      <w:rFonts w:asciiTheme="majorHAnsi" w:eastAsiaTheme="majorEastAsia" w:hAnsiTheme="majorHAnsi" w:cstheme="majorBidi"/>
      <w:b/>
      <w:bCs/>
      <w:caps/>
      <w:color w:val="1E7FB8"/>
      <w:sz w:val="96"/>
      <w:szCs w:val="28"/>
      <w:lang w:eastAsia="zh-CN"/>
    </w:rPr>
  </w:style>
  <w:style w:type="character" w:customStyle="1" w:styleId="TitleChar">
    <w:name w:val="Title Char"/>
    <w:basedOn w:val="DefaultParagraphFont"/>
    <w:link w:val="Title"/>
    <w:uiPriority w:val="10"/>
    <w:rsid w:val="00697C23"/>
    <w:rPr>
      <w:rFonts w:asciiTheme="majorHAnsi" w:eastAsiaTheme="majorEastAsia" w:hAnsiTheme="majorHAnsi" w:cstheme="majorBidi"/>
      <w:b/>
      <w:bCs/>
      <w:caps/>
      <w:color w:val="1E7FB8"/>
      <w:sz w:val="96"/>
      <w:szCs w:val="28"/>
      <w:lang w:eastAsia="zh-CN"/>
    </w:rPr>
  </w:style>
  <w:style w:type="paragraph" w:styleId="EndnoteText">
    <w:name w:val="endnote text"/>
    <w:basedOn w:val="Normal"/>
    <w:link w:val="EndnoteTextChar"/>
    <w:uiPriority w:val="99"/>
    <w:semiHidden/>
    <w:unhideWhenUsed/>
    <w:rsid w:val="00697C23"/>
    <w:pPr>
      <w:spacing w:after="0" w:line="240" w:lineRule="auto"/>
    </w:pPr>
    <w:rPr>
      <w:rFonts w:eastAsiaTheme="minorEastAsia" w:cstheme="minorHAnsi"/>
      <w:sz w:val="20"/>
      <w:szCs w:val="20"/>
      <w:lang w:eastAsia="zh-CN"/>
    </w:rPr>
  </w:style>
  <w:style w:type="character" w:customStyle="1" w:styleId="EndnoteTextChar">
    <w:name w:val="Endnote Text Char"/>
    <w:basedOn w:val="DefaultParagraphFont"/>
    <w:link w:val="EndnoteText"/>
    <w:uiPriority w:val="99"/>
    <w:semiHidden/>
    <w:rsid w:val="00697C23"/>
    <w:rPr>
      <w:rFonts w:eastAsiaTheme="minorEastAsia" w:cstheme="minorHAnsi"/>
      <w:sz w:val="20"/>
      <w:szCs w:val="20"/>
      <w:lang w:eastAsia="zh-CN"/>
    </w:rPr>
  </w:style>
  <w:style w:type="character" w:styleId="EndnoteReference">
    <w:name w:val="endnote reference"/>
    <w:basedOn w:val="DefaultParagraphFont"/>
    <w:uiPriority w:val="99"/>
    <w:semiHidden/>
    <w:unhideWhenUsed/>
    <w:rsid w:val="00697C23"/>
    <w:rPr>
      <w:vertAlign w:val="superscript"/>
    </w:rPr>
  </w:style>
  <w:style w:type="character" w:styleId="IntenseEmphasis">
    <w:name w:val="Intense Emphasis"/>
    <w:uiPriority w:val="21"/>
    <w:qFormat/>
    <w:rsid w:val="00697C23"/>
    <w:rPr>
      <w:rFonts w:asciiTheme="majorHAnsi" w:hAnsiTheme="majorHAnsi"/>
      <w:sz w:val="28"/>
    </w:rPr>
  </w:style>
  <w:style w:type="paragraph" w:customStyle="1" w:styleId="tablecontent">
    <w:name w:val="table content"/>
    <w:basedOn w:val="Normal"/>
    <w:qFormat/>
    <w:rsid w:val="00697C23"/>
    <w:pPr>
      <w:spacing w:after="0" w:line="240" w:lineRule="auto"/>
      <w:ind w:left="170"/>
    </w:pPr>
    <w:rPr>
      <w:rFonts w:eastAsiaTheme="minorEastAsia" w:cstheme="minorHAnsi"/>
      <w:sz w:val="24"/>
      <w:szCs w:val="24"/>
    </w:rPr>
  </w:style>
  <w:style w:type="paragraph" w:customStyle="1" w:styleId="Style2">
    <w:name w:val="Style2"/>
    <w:basedOn w:val="Heading3"/>
    <w:link w:val="Style2Char"/>
    <w:qFormat/>
    <w:rsid w:val="00697C23"/>
  </w:style>
  <w:style w:type="character" w:customStyle="1" w:styleId="Style2Char">
    <w:name w:val="Style2 Char"/>
    <w:basedOn w:val="Heading3Char"/>
    <w:link w:val="Style2"/>
    <w:rsid w:val="00697C23"/>
    <w:rPr>
      <w:rFonts w:asciiTheme="majorHAnsi" w:eastAsiaTheme="majorEastAsia" w:hAnsiTheme="majorHAnsi" w:cstheme="majorBidi"/>
      <w:b/>
      <w:bCs/>
      <w:color w:val="1E7FB8"/>
      <w:sz w:val="24"/>
      <w:szCs w:val="28"/>
      <w:lang w:eastAsia="zh-CN"/>
    </w:rPr>
  </w:style>
  <w:style w:type="paragraph" w:styleId="Quote">
    <w:name w:val="Quote"/>
    <w:basedOn w:val="Normal"/>
    <w:next w:val="Normal"/>
    <w:link w:val="QuoteChar"/>
    <w:uiPriority w:val="29"/>
    <w:qFormat/>
    <w:rsid w:val="00697C23"/>
    <w:pPr>
      <w:spacing w:after="200" w:line="276" w:lineRule="auto"/>
    </w:pPr>
    <w:rPr>
      <w:rFonts w:eastAsiaTheme="minorEastAsia"/>
      <w:i/>
      <w:iCs/>
      <w:color w:val="000000" w:themeColor="text1"/>
      <w:lang w:eastAsia="ja-JP"/>
    </w:rPr>
  </w:style>
  <w:style w:type="character" w:customStyle="1" w:styleId="QuoteChar">
    <w:name w:val="Quote Char"/>
    <w:basedOn w:val="DefaultParagraphFont"/>
    <w:link w:val="Quote"/>
    <w:uiPriority w:val="29"/>
    <w:rsid w:val="00697C23"/>
    <w:rPr>
      <w:rFonts w:eastAsiaTheme="minorEastAsia"/>
      <w:i/>
      <w:iCs/>
      <w:color w:val="000000" w:themeColor="text1"/>
      <w:lang w:eastAsia="ja-JP"/>
    </w:rPr>
  </w:style>
  <w:style w:type="table" w:styleId="ColorfulGrid-Accent5">
    <w:name w:val="Colorful Grid Accent 5"/>
    <w:basedOn w:val="TableNormal"/>
    <w:uiPriority w:val="73"/>
    <w:rsid w:val="00B85B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3-Accent5">
    <w:name w:val="Medium Grid 3 Accent 5"/>
    <w:basedOn w:val="TableNormal"/>
    <w:uiPriority w:val="69"/>
    <w:rsid w:val="00B85B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numbering" w:customStyle="1" w:styleId="NoList11">
    <w:name w:val="No List11"/>
    <w:next w:val="NoList"/>
    <w:uiPriority w:val="99"/>
    <w:semiHidden/>
    <w:unhideWhenUsed/>
    <w:rsid w:val="00547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87616">
      <w:bodyDiv w:val="1"/>
      <w:marLeft w:val="0"/>
      <w:marRight w:val="0"/>
      <w:marTop w:val="0"/>
      <w:marBottom w:val="0"/>
      <w:divBdr>
        <w:top w:val="none" w:sz="0" w:space="0" w:color="auto"/>
        <w:left w:val="none" w:sz="0" w:space="0" w:color="auto"/>
        <w:bottom w:val="none" w:sz="0" w:space="0" w:color="auto"/>
        <w:right w:val="none" w:sz="0" w:space="0" w:color="auto"/>
      </w:divBdr>
      <w:divsChild>
        <w:div w:id="789517610">
          <w:marLeft w:val="619"/>
          <w:marRight w:val="0"/>
          <w:marTop w:val="154"/>
          <w:marBottom w:val="0"/>
          <w:divBdr>
            <w:top w:val="none" w:sz="0" w:space="0" w:color="auto"/>
            <w:left w:val="none" w:sz="0" w:space="0" w:color="auto"/>
            <w:bottom w:val="none" w:sz="0" w:space="0" w:color="auto"/>
            <w:right w:val="none" w:sz="0" w:space="0" w:color="auto"/>
          </w:divBdr>
        </w:div>
      </w:divsChild>
    </w:div>
    <w:div w:id="643504323">
      <w:bodyDiv w:val="1"/>
      <w:marLeft w:val="0"/>
      <w:marRight w:val="0"/>
      <w:marTop w:val="0"/>
      <w:marBottom w:val="0"/>
      <w:divBdr>
        <w:top w:val="none" w:sz="0" w:space="0" w:color="auto"/>
        <w:left w:val="none" w:sz="0" w:space="0" w:color="auto"/>
        <w:bottom w:val="none" w:sz="0" w:space="0" w:color="auto"/>
        <w:right w:val="none" w:sz="0" w:space="0" w:color="auto"/>
      </w:divBdr>
      <w:divsChild>
        <w:div w:id="262306513">
          <w:marLeft w:val="619"/>
          <w:marRight w:val="0"/>
          <w:marTop w:val="154"/>
          <w:marBottom w:val="0"/>
          <w:divBdr>
            <w:top w:val="none" w:sz="0" w:space="0" w:color="auto"/>
            <w:left w:val="none" w:sz="0" w:space="0" w:color="auto"/>
            <w:bottom w:val="none" w:sz="0" w:space="0" w:color="auto"/>
            <w:right w:val="none" w:sz="0" w:space="0" w:color="auto"/>
          </w:divBdr>
        </w:div>
        <w:div w:id="1812869625">
          <w:marLeft w:val="619"/>
          <w:marRight w:val="0"/>
          <w:marTop w:val="154"/>
          <w:marBottom w:val="0"/>
          <w:divBdr>
            <w:top w:val="none" w:sz="0" w:space="0" w:color="auto"/>
            <w:left w:val="none" w:sz="0" w:space="0" w:color="auto"/>
            <w:bottom w:val="none" w:sz="0" w:space="0" w:color="auto"/>
            <w:right w:val="none" w:sz="0" w:space="0" w:color="auto"/>
          </w:divBdr>
        </w:div>
        <w:div w:id="988634663">
          <w:marLeft w:val="619"/>
          <w:marRight w:val="0"/>
          <w:marTop w:val="154"/>
          <w:marBottom w:val="0"/>
          <w:divBdr>
            <w:top w:val="none" w:sz="0" w:space="0" w:color="auto"/>
            <w:left w:val="none" w:sz="0" w:space="0" w:color="auto"/>
            <w:bottom w:val="none" w:sz="0" w:space="0" w:color="auto"/>
            <w:right w:val="none" w:sz="0" w:space="0" w:color="auto"/>
          </w:divBdr>
        </w:div>
      </w:divsChild>
    </w:div>
    <w:div w:id="723525821">
      <w:bodyDiv w:val="1"/>
      <w:marLeft w:val="0"/>
      <w:marRight w:val="0"/>
      <w:marTop w:val="0"/>
      <w:marBottom w:val="0"/>
      <w:divBdr>
        <w:top w:val="none" w:sz="0" w:space="0" w:color="auto"/>
        <w:left w:val="none" w:sz="0" w:space="0" w:color="auto"/>
        <w:bottom w:val="none" w:sz="0" w:space="0" w:color="auto"/>
        <w:right w:val="none" w:sz="0" w:space="0" w:color="auto"/>
      </w:divBdr>
      <w:divsChild>
        <w:div w:id="2128815063">
          <w:marLeft w:val="619"/>
          <w:marRight w:val="0"/>
          <w:marTop w:val="154"/>
          <w:marBottom w:val="0"/>
          <w:divBdr>
            <w:top w:val="none" w:sz="0" w:space="0" w:color="auto"/>
            <w:left w:val="none" w:sz="0" w:space="0" w:color="auto"/>
            <w:bottom w:val="none" w:sz="0" w:space="0" w:color="auto"/>
            <w:right w:val="none" w:sz="0" w:space="0" w:color="auto"/>
          </w:divBdr>
        </w:div>
        <w:div w:id="332220245">
          <w:marLeft w:val="619"/>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F1992-8140-4402-B9B5-7343FCC8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9060</Words>
  <Characters>51642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60581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PREVISANI, Nicoletta Claudia</dc:creator>
  <cp:lastModifiedBy>WAGNER, Mark</cp:lastModifiedBy>
  <cp:revision>2</cp:revision>
  <cp:lastPrinted>2017-06-09T07:31:00Z</cp:lastPrinted>
  <dcterms:created xsi:type="dcterms:W3CDTF">2017-10-20T15:41:00Z</dcterms:created>
  <dcterms:modified xsi:type="dcterms:W3CDTF">2017-10-20T15:41:00Z</dcterms:modified>
</cp:coreProperties>
</file>